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52.45 vom 14. Januar 1988</w:t>
      </w:r>
    </w:p>
    <w:p>
      <w:r>
        <w:t>Bundesverwaltung, 1988-01-14, DE</w:t>
      </w:r>
    </w:p>
    <w:p>
      <w:r>
        <w:rPr>
          <w:b/>
        </w:rPr>
        <w:t xml:space="preserve">Quelle: </w:t>
      </w:r>
      <w:r>
        <w:t>https://mcp.opencaselaw.ch/entscheid/ch_vb_JAAC_52.45__</w:t>
      </w:r>
    </w:p>
    <w:p>
      <w:r>
        <w:t>FR: CH_VB JAAC 52.45 du 14 janvier 1988</w:t>
      </w:r>
    </w:p>
    <w:p>
      <w:r>
        <w:t>IT: CH_VB JAAC 52.45 del 14 gennaio 1988</w:t>
      </w:r>
    </w:p>
    <w:p>
      <w:pPr>
        <w:pStyle w:val="Heading2"/>
      </w:pPr>
      <w:r>
        <w:t>Erwägungen</w:t>
      </w:r>
    </w:p>
    <w:p>
      <w:r>
        <w:rPr>
          <w:b/>
        </w:rPr>
        <w:t>E. 1</w:t>
      </w:r>
    </w:p>
    <w:p>
      <w:r>
        <w:t>Kriegsmaterial. Die Bestimmung des Materials im einzelnen obliegt gemäss Abs. 2 des erwähnten Artikels dem Bundesrat. Dieser führt in Art. 1 Abs. 1 Bst. b Ziff. 4 der V vom 10. Januar 1973 über das Kriegsmaterial (VKM, SR 514.511) die «B- und C-Kampfstoffe» auf, die gewöhnlich als biologische und chemische Waffen bezeichnet werden. In konstanter Praxis hat die Direktion der Eidg. Militärverwaltung (DMV) denn auch den Wirkstoff CS wie auch das von der Beschwerdeführerin ebenfalls angesprochene CN (Chloracetophenon) stets als C-Kampfstoffe betrachtet. Es handelt sich dabei um Reizstofflösungen. Sie sind indessen nicht als völlig harmlos zu betrachten, wenn sie auch keinen tödlichen Effekt aufweisen, sondern lediglich Aktionsunfähigkeit bewirken. Diese Stoffe müssen daher durchaus als Erzeugnisse betrachtet werden, die als Kampfmittel verwendet werden können. Dabei bilden insbesondere Bürgerkriege denkbare Einsatzmöglichkeiten, wo Strassenkämpfe eine häufige Erscheinung darstellen. Ob ein Einsatz durch Militär oder Polizei vorgesehen ist, kann dabei nicht entscheidend sein. Gerade bei der erwähnten Einsatzmöglichkeit ist eine Beteiligung beider Kräfte denkbar. Müsste im Bewilligungsverfahren nach diesen Kriterien unterschieden werden, so würde der Zweck der Kriegsmaterialgesetzgebung faktisch beeinträchtigt und entsprechende Umgehungen des KMG könnten kaum verhindert werden. Bei Einsatzmitteln, die von beiden Kräften verwendet werden, würde zudem eine unterschiedliche Behandlung nicht stichhaltig begründet werden können. Schliesslich kann die Form oder Konzentration, in der diese Wirkstoffe geliefert werden, keine Rolle spielen. Auch in schwächerer Konzentration bestehen, wie erwähnt, Einsatzmöglichkeiten als Kampfmittel. Zudem ist es möglich, die Konzentration einer Stammlösung im Labor zu ändern. Dass die CS- und CN-Stammlösungen ganz grundsätzlich als Kampfmittel im Sinne des KMG zu betrachten sind, wird von der Beschwerdeführerin im übrigen nicht verkannt, hat sie doch eine Grundbewilligung nach Art. 4 KMG für die Herstellung der fraglichen Produkte beantragt und am 7. Dezember 1984 auch erhalten.</w:t>
      </w:r>
    </w:p>
    <w:p>
      <w:r>
        <w:rPr>
          <w:b/>
        </w:rPr>
        <w:t>E. 2</w:t>
      </w:r>
    </w:p>
    <w:p>
      <w:r>
        <w:t>Schweizerisches Bundesarchiv, Digitale Amtsdruckschriften Archives fédérales suisses, Publications officielles numérisées Archivio federale svizzero, Pubblicazioni ufficiali digitali JAAC 52.45 - Auszug aus einem Entscheid des Eidg. Militärdepartements vom 14. Januar 1988 In Verwaltungspraxis der Bundesbehörden Dans Jurisprudence des autorités administratives de la Confédération In Giurisprudenza delle autorità amministrative della Confederazione Jahr 1988 Année Anno Band 52 Volume Volume Seite --- Page Pagina Ref. No 150 000 752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