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52.43B vom 1. Dezember 1986</w:t>
      </w:r>
    </w:p>
    <w:p>
      <w:r>
        <w:t>Bundesverwaltung, 1986-12-01, DE</w:t>
      </w:r>
    </w:p>
    <w:p>
      <w:r>
        <w:rPr>
          <w:b/>
        </w:rPr>
        <w:t xml:space="preserve">Quelle: </w:t>
      </w:r>
      <w:r>
        <w:t>https://mcp.opencaselaw.ch/entscheid/ch_vb_JAAC_52.43B__</w:t>
      </w:r>
    </w:p>
    <w:p>
      <w:r>
        <w:t>FR: CH_VB JAAC 52.43B du 1 décembre 1986</w:t>
      </w:r>
    </w:p>
    <w:p>
      <w:r>
        <w:t>IT: CH_VB JAAC 52.43B del 1 dicembre 1986</w:t>
      </w:r>
    </w:p>
    <w:p>
      <w:pPr>
        <w:pStyle w:val="Heading2"/>
      </w:pPr>
      <w:r>
        <w:t>Erwägungen</w:t>
      </w:r>
    </w:p>
    <w:p>
      <w:r>
        <w:rPr>
          <w:b/>
        </w:rPr>
        <w:t>E. 2</w:t>
      </w:r>
    </w:p>
    <w:p>
      <w:r>
        <w:t>Das Sichern des Fahrzeuges ist eine elementare Vorsichtspflicht jedes Fahrzeuglenkers. Art. 37 Abs. 3 des BG vom 19. Dezember 1958 über den Strassenverkehr (SVG, SR 741.01) verlangt, dass der Führer das Fahrzeug vor dem Verlassen angemessen sichern muss. In Art. 22 der V vom 13. November 1962 über die Strassenverkehrsregeln (VRV, SR 741.11) wird diese Regel noch konkreter umschrieben: «Der Führer hat den Motor abzustellen, wenn er das Fahrzeug verlässt. Bevor er sich entfernt, muss er es gegen das Wegrollen und gegen die Verwendung durch Unbefugte sichern. Im Gefälle ist die Bremse anzuziehen und eine weitere wirksame Sicherung gegen das Wegrollen zu treffen, wie Einlegen des niedrigsten Ganges …». Obschon der Kasernenplatz nur eine geringe Neigung aufweist, war der Rekurrent verpflichtet, sein Fahrzeug doppelt zu sichern: durch Einlegen der Schaltstellung «P» und durch Anziehen der Bremse. Er hat keine dieser Massnahmen getroffen, obschon jede einzeln bereits ausreichen würde, um das Fahrzeug vor dem Wegrollen zu bewahren. Er hat damit elementare Vorsichtsmassnahmen unterlassen, die sich jedem Automobilisten in seiner Lage aufgedrängt hätten. Der Umstand, dass er der geringen Neigung des Platzes wegen nicht mit dem Wegrollen des Fahrzeuges gerechnet hat, ändert nichts daran, dass sein Verhalten als grobfahrlässig qualifiziert werden muss.</w:t>
      </w:r>
    </w:p>
    <w:p>
      <w:r>
        <w:rPr>
          <w:b/>
        </w:rPr>
        <w:t>E. 3</w:t>
      </w:r>
    </w:p>
    <w:p>
      <w:r>
        <w:t>Das Einhalten der Vorschriften des zivilen Strassenverkehrsrechtes ist für alle Motorfahrer der Armee dienstlicher Befehl. Die Verletzung von Regeln des SVG stellt damit immer auch eine Verletzung dienstlicher Pflichten dar. Ist eine Verkehrsregel grobfahrlässig übertreten worden, so liegt auch eine grobfahrlässige Verletzung der Dienstpflicht vor. Im vorliegenden Fall trifft dies zu, so dass der Bund sein Regressrecht ausüben kann. 2</w:t>
      </w:r>
    </w:p>
    <w:p>
      <w:r>
        <w:t>Schweizerisches Bundesarchiv, Digitale Amtsdruckschriften Archives fédérales suisses, Publications officielles numérisées Archivio federale svizzero, Pubblicazioni ufficiali digitali JAAC 52.43B - Auszug aus einem Entscheid der Rekurskommission der Eidg. Militärverwaltung vom 1. Dezember 1986 In Verwaltungspraxis der Bundesbehörden Dans Jurisprudence des autorités administratives de la Confédération In Giurisprudenza delle autorità amministrative della Confederazione Jahr 1988 Année Anno Band 52 Volume Volume Seite --- Page Pagina Ref. No 150 000 746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