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52.32 vom 23. März 1988</w:t>
      </w:r>
    </w:p>
    <w:p>
      <w:r>
        <w:t>Bundesverwaltung, 1988-03-23, DE</w:t>
      </w:r>
    </w:p>
    <w:p>
      <w:r>
        <w:rPr>
          <w:b/>
        </w:rPr>
        <w:t xml:space="preserve">Quelle: </w:t>
      </w:r>
      <w:r>
        <w:t>https://mcp.opencaselaw.ch/entscheid/ch_vb_JAAC_52.32__</w:t>
      </w:r>
    </w:p>
    <w:p>
      <w:r>
        <w:t>FR: CH_VB JAAC 52.32 du 23 mars 1988</w:t>
      </w:r>
    </w:p>
    <w:p>
      <w:r>
        <w:t>IT: CH_VB JAAC 52.32 del 23 marzo 1988</w:t>
      </w:r>
    </w:p>
    <w:p>
      <w:pPr>
        <w:pStyle w:val="Heading2"/>
      </w:pPr>
      <w:r>
        <w:t>Erwägungen</w:t>
      </w:r>
    </w:p>
    <w:p>
      <w:r>
        <w:rPr>
          <w:b/>
        </w:rPr>
        <w:t>E. 1</w:t>
      </w:r>
    </w:p>
    <w:p>
      <w:r>
        <w:t>ricorso. Nessun diritto a un permesso di questo genere né secondo il diritto federale né secondo la Convenzione europea dei diritti dell’uomo (CEDU). Legalità dell’ordinanza che limita l’effettivo degli stranieri. Nessun esame della costituzionalità di disposizioni legali da parte del Consiglio federale. I A. Am 6. März 1986 hat der Verein X bei einer kantonalen Fremdenpolizei ein Gesuch eingereicht mit dem Antrag, Herrn Y eine Arbeits- und Aufenthaltsbewilligung für Jahresaufenthalter zur Ausübung der Tätigkeit eines Geistlichen zu erteilen. In der Folge hat das kantonale Arbeitsamt das Gesuch am 25. April dem Bundesamt für Industrie, Gewerbe und Arbeit (BIGA) zur Behandlung überwiesen. Das Gesuch ist am 17. November 1986 vom BIGA abgewiesen worden. B. Das Eidgenössische Volkswirtschaftsdepartement (EVD) hat eine gegen den Entscheid des BIGA eingereichte Beschwerde am 25. Juni 1987 seinerseits kostenfällig abgewiesen. Der Begründung ist zu entnehmen, dass dem Verein, der als eine Religionsgemeinschaft zu betrachten sei, keine gesamtschweizerische Bedeutung zukomme. In der betreffenden Gemeinde gäbe es nur 30 bis 50 Gottesdienstbesucher; der Kreis der dort seelsorgerisch zu betreuenden Personen werde auf ca. 70 Personen geschätzt. Ferner gäbe es in der Schweiz neben dieser Gemeinde bloss sechs eigenständige Gemeinden, die sich zum selben Glauben bekennen. C. Gegen diesen Entscheid hat der Verein am 17. Juli 1987 beim Bundesrat eine Beschwerde eingereicht mit dem Antrag, Herrn Y eine Arbeits- und Aufenthaltsbewilligung für Jahresaufenthalter zu erteilen. Zur Begründung wird im wesentlichen geltend gemacht, dass der Ort des Vereins Urzelle und Zentrum der schweizerischen Glaubensgemeinschaft sei. Auch wenn nur 30 bis 50 Personen die Gottesdienste besuchten und ca. 70 Personen seelsorgerisch betreut werden müssten, so gebe es doch eine grosse Anzahl von Glaubensanhängern in der übrigen Schweiz. Man schätze deren Zahl auf einige tausend, verteilt auf über 12 autonome Gemeinden…. Man sehe vor, alle gleichgesinnten Gemeinden mit der Zeit unter die Obhut von Herrn Y zu stellen, der zukünftig Bischofsfunktionen ausüben werde. Auf die Mitarbeit von Herrn Y könne nicht verzichtet werden, da die aus autonomen Gemeinden zusammengesetzte schweizerische Glaubensgemeinschaft über keine gefestigte ganzheitliche Organisationsstruktur verfüge. Es gelte jetzt, diese Glaubensgemeinschaft aus ihrem gegenwärtigen Schlummerzustand herauszuholen. Was die Person von Herrn Y anbelange, so werde anerkannt, dass er den Zulassungsbeschränkungen für Jahresaufenthalter unterliege. Es werde aber Bundesrecht verletzt, wenn die Vorinstanz den Verein nicht als Religionsgemeinschaft von gesamtschweizerischer Bedeutung betrachte. Diese rechtswidrige Auslegung eines unbestimmten Rechtsbegriffs verletze gleichzeitig auch die Bundesverfassung, so vor allem das Gebot</w:t>
      </w:r>
    </w:p>
    <w:p>
      <w:r>
        <w:rPr>
          <w:b/>
        </w:rPr>
        <w:t>E. 2</w:t>
      </w:r>
    </w:p>
    <w:p>
      <w:r>
        <w:t>der Rechtsgleichheit und die Glaubens- und Kultusfreiheit. Ausserdem müsse Bundesrecht, sei es nun ein Gesetz oder sei es eine Verordnung, verfassungskonform ausgelegt werden. Insbesondere müsse geprüft werden, ob die zur Anwendung gelangte Verordnung gesetzeskonform sei. Im weitern habe nach der Bewilligungspraxis der Bundesbehörden jede repräsentative Religionsgemeinschaft auf nationaler Ebene Anspruch auf mindestens einen Geistlichen. Werde die Intensität der Glaubensbetätigung berücksichtigt, so hätten auch schon kleine Glaubensgemeinschaften Anspruch auf die Erteilung einer solchen Bewilligung. Stelle man einzig auf Organisationsstrukturen ab, so bestehe selbst die Evangelisch-reformierte Landeskirche aus autonomen öffentlich-rechtlichen Körperschaften. Es verstehe sich von selbst, dass der Religionsgemeinschaft in Zeiten der Führerlosigkeit der organisatorische Oberbau fehle. Eine Organisationsstruktur werde jedoch erst wieder mit der charismatischen Berufung neuer Leiter gewährleistet. Es komme hier aus diesen Überlegungen einzig auf die Anzahl Glaubensanhänger und deren Bereitschaft zur Glaubensbetätigung an. Die Glaubensgemeinschaft verfüge in der Schweiz über einige tausend Mitglieder. Das Gebot der Rechtsgleichheit werde insofern verletzt, als der vorliegende Sachverhalt zu schematisch betrachtet werde. II 1. Nach Art. 100 Bst. b Ziff. 3 OG, in Verbindung mit Art. 53 Abs. 3 der V vom</w:t>
      </w:r>
    </w:p>
    <w:p>
      <w:r>
        <w:rPr>
          <w:b/>
        </w:rPr>
        <w:t>E. 6</w:t>
      </w:r>
    </w:p>
    <w:p>
      <w:r>
        <w:t>Schweizerisches Bundesarchiv, Digitale Amtsdruckschriften Archives fédérales suisses, Publications officielles numérisées Archivio federale svizzero, Pubblicazioni ufficiali digitali JAAC 52.32 - Entscheid des Bundesrates vom 23. März 1988 In Verwaltungspraxis der Bundesbehörden Dans Jurisprudence des autorités administratives de la Confédération In Giurisprudenza delle autorità amministrative della Confederazione Jahr 1988 Année Anno Band 52 Volume Volume Seite --- Page Pagina Ref. No 150 000 707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