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52.25 vom 27. März 1987</w:t>
      </w:r>
    </w:p>
    <w:p>
      <w:r>
        <w:t>Bundesverwaltung, 1987-03-27, DE</w:t>
      </w:r>
    </w:p>
    <w:p>
      <w:r>
        <w:rPr>
          <w:b/>
        </w:rPr>
        <w:t xml:space="preserve">Quelle: </w:t>
      </w:r>
      <w:r>
        <w:t>https://mcp.opencaselaw.ch/entscheid/ch_vb_JAAC_52.25__</w:t>
      </w:r>
    </w:p>
    <w:p>
      <w:r>
        <w:t>FR: CH_VB JAAC 52.25 du 27 mars 1987</w:t>
      </w:r>
    </w:p>
    <w:p>
      <w:r>
        <w:t>IT: CH_VB JAAC 52.25 del 27 marzo 1987</w:t>
      </w:r>
    </w:p>
    <w:p>
      <w:pPr>
        <w:pStyle w:val="Heading2"/>
      </w:pPr>
      <w:r>
        <w:t>Erwägungen</w:t>
      </w:r>
    </w:p>
    <w:p>
      <w:r>
        <w:rPr>
          <w:b/>
        </w:rPr>
        <w:t>E. 1</w:t>
      </w:r>
    </w:p>
    <w:p>
      <w:r>
        <w:t>Nach Art. 5 und 7 des BG vom 28. September 1962 über das Filmwesen (FiG, SR 443.1) kann die schweizerische Produktion wertvoller Filme im Rahmen eines alljährlich in den Voranschlag der Eidgenossenschaft einzustellenden Höchstbetrags gefördert werden. Diese Bestimmungen verschaffen keinen gesetzlichen Anspruch auf Bundesbeiträge (VPB 42.58, VPB 39.44; Grisel André, Traité de droit administratif suisse, Neuenburg 1984, Bd. 2, S. 987). Nach Art. 99 Bst. h OG und Art. 71 ff. VwVG ist die Zuständigkeit des Bundesrates als Beschwerdeinstanz gegeben. …</w:t>
      </w:r>
    </w:p>
    <w:p>
      <w:r>
        <w:rPr>
          <w:b/>
        </w:rPr>
        <w:t>E. 2</w:t>
      </w:r>
    </w:p>
    <w:p>
      <w:r>
        <w:t>sowie ferner ein Budget und ein Finanzierungsplan (Art. 3 Abs. 2 Bst. a FiV 1). Somit sind künstlerische, technische und kulturelle Gesichtspunkte in Betracht zu ziehen, um den Wert eines Projektes abzuschätzen. Es muss aber auch geprüft werden, ob Gewähr für die Realisierung des Projektes besteht (VPB 41.70, VPB 42.58).</w:t>
      </w:r>
    </w:p>
    <w:p>
      <w:r>
        <w:rPr>
          <w:b/>
        </w:rPr>
        <w:t>E. 3</w:t>
      </w:r>
    </w:p>
    <w:p>
      <w:r>
        <w:t>Die Bewertung eines Projektes wirft Tat- und Rechtsfragen mit einem weiten Beurteilungsspielraum auf, deren Beantwortung sich dem Ermessen nähert, weshalb denn auch Art. l Abs. 2 FiV 1 sie als Ermessenssache bezeichnet. Obwohl der Bundesrat als letzte Beschwerdeinstanz auch die Angemessenheit prüfen kann (Art. 49 Bst. c VwVG), übt er darin nach konstanter Praxis Zurückhaltung, wenn die angefochtene Verfügung auf einer amtlichen Expertise beruht. In diesem Fall weicht er von der Auffassung der Vorinstanz nicht ohne Not ab. Die Verfügung hebt er nur dann auf, wenn aus den Akten hervorgeht, dass die Vorinstanz die Experten nicht ordnungsgemäss konsultiert hat, dass die ordnungsgemäss konsultierten Experten an den Wert des Filmprojektes offensichtlich übertriebene Anforderungen gestellt haben oder dass sie, ohne die Anforderungen zu überspannen, den Wert des Projektes offensichtlich unterschätzt haben (VPB 39.87, VPB 40.79, VPB 42.48). In dieser Materie nähert sich somit die Beschwerde an den Bundesrat der staatsrechtlichen Willkürbeschwerde an das Bundesgericht.</w:t>
      </w:r>
    </w:p>
    <w:p>
      <w:r>
        <w:rPr>
          <w:b/>
        </w:rPr>
        <w:t>E. 4</w:t>
      </w:r>
    </w:p>
    <w:p>
      <w:r>
        <w:t>Die zuständigen Begutachtungsorgane des Departementes wurden im vorliegenden Falle ordnungsgemäss konsultiert. Es bleibt daher zu prüfen, ob die Experten an den Wert des Filmprojektes offensichtlich übertriebene Anforderungen gestellt haben oder ob sie den Wert des Projektes offensichtlich unterschätzt haben. … Nach Art. 3 und 5 FiV 1 sollen nebst dem Drehbuch die Angaben über die Produktion, den künstlerischen und technischen Stab und der Finanzierungsplan dem Gesuch um einen Herstellungsbeitrag beigelegt werden. Entgegen der Ansicht des Beschwerdeführers kommt aber diesen Angaben und dem Finanzierungsplan bei der Beurteilung der Qualität des Projektes nicht derselbe Wert zu wie dem Drehbuch. Nach der Praxis des Bundesrates ist und bleibt das Drehbuch die wichtigste Grundlage bei der Bewertung eines Filmvorhabens (VPB 42.58). a. Nach Ansicht des Begutachtungsausschusses und des Departementes sind die Mängel des Drehbuches so schwerwiegend, dass von einem positiven Entscheid Abstand genommen werden müsse. b. Die übrigen Entscheidungselemente vermögen nicht, diese negative Beurteilung der Experten zu ändern. Was die Gesamtfinanzierung anbelangt (Art. 7 FiV 1), so stellt sie kein Beurteilungskriterium, sondern vielmehr eine Voraussetzung dar, der das Projekt zu genügen hat, um überhaupt für einen Bundesbeitrag in Frage zu kommen. Dass der künstlerische und technische Stab die erforderliche Erfahrung aufweist, gibt auch nicht hinreichend Gewähr für die Qualität des Projektes. Es ist zwar unbestritten, dass der Beschwerdeführer zu den besten und erfolgreichsten Regisseuren der Schweiz gehört. Seine 3</w:t>
      </w:r>
    </w:p>
    <w:p>
      <w:r>
        <w:t>Filmographie beweist es ohne Zweifel. Dem Protokoll der Sitzung 1/87 des Begutachtungsausschusses ist übrigens zu entnehmen, dass dieses Element in Betracht gezogen wurde. Trotz dem Talent eines Gesuchstellers kommen die Vorinstanz und der Begutachtungsausschuss aber nicht darum herum, die Qualität des Drehbuches zu bewerten. Eine andere Lösung würde dazu führen, jedes Gesuch eines erfolgreichen Regisseurs zum vornherein gutzuheissen. Dies kann selbstverständlich nicht das Ziel der Filmförderung sein. Wie das Departement in seiner Vernehmlassung vom 2. Juni 1987 zutreffend darlegt, gibt es tatsächlich verschiedene Kriterien, die es bei der Beurteilung eines Filmprojektes zu prüfen gilt. Wichtigster Teil des Gesuchs bleibt aber die Darstellung des Filmmanuskriptes, des Stoffs sowie der Gestaltung des Projektes. Einzig in den Fällen, da diese Punkte eine hochstehende Qualität aufweisen, bleibt zu prüfen, ob eine gewisse Garantie besteht, dass die Realisierung des Projektes mit an Sicherheit grenzender Wahrscheinlichkeit zu einem hervorragenden Film führen wird. Dabei ist besonders der Finanzierung, der Zusammenstellung der Drehequipe und der Produktion Beachtung zu schenken. Die Beurteilung des Vorhabens des Beschwerdeführers beruht demnach weder auf offensichtlich übersetzten Anforderungen noch auf einer Unterschätzung des Filmprojektes, weshalb auch kein Ermessensmissbrauch vorliegt.</w:t>
      </w:r>
    </w:p>
    <w:p>
      <w:r>
        <w:rPr>
          <w:b/>
        </w:rPr>
        <w:t>E. 5</w:t>
      </w:r>
    </w:p>
    <w:p>
      <w:r>
        <w:t>Der Beschwerdeführer rügt im weitern, die Vorinstanz habe keine Rücksicht auf sprachkulturelle Aspekte genommen. Dieser Vorwurf geht fehl. Auch wenn die kulturelle Eigenständigkeit des Schweizer Films gemäss einer Antwort des Bundesrates vom 23. April 1986 auf eine Einfache Anfrage Christinat zu fördern ist, so bedeutet das noch nicht, dass jeder Dialektfilm beitragswürdig ist. Die Handlung des in Frage stehenden Films ist nicht an einen bestimmten Ort in der deutschsprachigen Schweiz gebunden, sondern hätte sich wohl auch in Genf oder Lausanne abspielen können. Die Mundart ist somit hier nicht der Ausdruck einer bestimmten kulturellen Haltung. 4</w:t>
      </w:r>
    </w:p>
    <w:p>
      <w:r>
        <w:t>Schweizerisches Bundesarchiv, Digitale Amtsdruckschriften Archives fédérales suisses, Publications officielles numérisées Archivio federale svizzero, Pubblicazioni ufficiali digitali JAAC 52.25 - Entscheid des Bundesrates vom 23. März 1988 In Verwaltungspraxis der Bundesbehörden Dans Jurisprudence des autorités administratives de la Confédération In Giurisprudenza delle autorità amministrative della Confederazione Jahr 1988 Année Anno Band 52 Volume Volume Seite --- Page Pagina Ref. No 150 000 683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