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52.12 vom 16. April 1987</w:t>
      </w:r>
    </w:p>
    <w:p>
      <w:r>
        <w:t>Bundesverwaltung, 1987-04-16, DE</w:t>
      </w:r>
    </w:p>
    <w:p>
      <w:r>
        <w:rPr>
          <w:b/>
        </w:rPr>
        <w:t xml:space="preserve">Quelle: </w:t>
      </w:r>
      <w:r>
        <w:t>https://mcp.opencaselaw.ch/entscheid/ch_vb_JAAC_52.12__</w:t>
      </w:r>
    </w:p>
    <w:p>
      <w:r>
        <w:t>FR: CH_VB JAAC 52.12 du 16 avril 1987</w:t>
      </w:r>
    </w:p>
    <w:p>
      <w:r>
        <w:t>IT: CH_VB JAAC 52.12 del 16 aprile 1987</w:t>
      </w:r>
    </w:p>
    <w:p>
      <w:pPr>
        <w:pStyle w:val="Heading2"/>
      </w:pPr>
      <w:r>
        <w:t>Erwägungen</w:t>
      </w:r>
    </w:p>
    <w:p>
      <w:r>
        <w:rPr>
          <w:b/>
        </w:rPr>
        <w:t>E. 1</w:t>
      </w:r>
    </w:p>
    <w:p>
      <w:r>
        <w:t>… Zur Legitimation führt der Bundesbeschluss aus, dass einzelne Personen, Behörden oder Vereinigungen eine Beschwerde einreichen können, wenn sie eine enge Beziehung zum Gegenstand der beanstandeten Sendung besitzen (Art. 14 Bst. b und c des BB vom 7. Oktober 1983 über die Unabhängige Beschwerdeinstanz für Radio und Fernsehen, SR 784.45, im folgenden BB). Voraussetzung zum Nachweis der engen Beziehung ist nach Praxis der Unabhängigen Beschwerdeinstanz, dass jemand entweder selber</w:t>
      </w:r>
    </w:p>
    <w:p>
      <w:r>
        <w:rPr>
          <w:b/>
        </w:rPr>
        <w:t>E. 2</w:t>
      </w:r>
    </w:p>
    <w:p>
      <w:r>
        <w:t>Neben der Verletzung von Art. 13 Abs. 1 Konzession SRG macht der Beschwerdeführer auch eine Umgehung des Werbeverbots für Alkoholika geltend. Das in Art. 9 Bst. e der Weisungen des Bundesrates über die Fernsehwerbung vom 15. Februar 1984 (BBl 1984 I 364) enthaltene Verbot zur Werbung für alkoholische Getränke bezieht sich auf Werbesendungen (Werbespots) und fällt daher in diesem Fall ausser Betracht. Allerdings widerspräche es den Zielsetzungen der Konzession, wenn eine Umgehung des Verbots mittels unzulässiger Schleichwerbung im normalen Programm praktiziert würde. Davon kann aber hier nicht gesprochen werden. Abgesehen von der Frage, ob die vorgeworfene Animierung zu Alkoholkonsum weniger mit dem Problem der in Art. 14 Konzession SRG unter anderem auch erwähnten indirekten Werbung (für ein Produkt oder eine Branche) als vielmehr mit allgemeinen programmlichen Zielsetzungen verbunden ist, hat allein die Tatsache, dass</w:t>
      </w:r>
    </w:p>
    <w:p>
      <w:r>
        <w:rPr>
          <w:b/>
        </w:rPr>
        <w:t>E. 3</w:t>
      </w:r>
    </w:p>
    <w:p>
      <w:r>
        <w:t>Bezüglich Art. 13 Abs. 1 Konzession SRG verweist der Beschwerdeführer auf den ersten Satz, der verlangt, dass die Programme die kulturellen Werte des Landes zu wahren und zu fördern haben und zur geistigen, sittlichen, religiösen, staatsbürgerlichen und künstlerischen Bildung beitragen sollen. Ausserdem zitiert der Beschwerdeführer die Bestimmung, nach welcher die Programme so zu gestalten sind, dass sie den Interessen des Landes dienen (dritter Satz von Art. 13 Abs. l Konzession SRG). Die Unabhängige Beschwerdeinstanz hat schon mehrfach festgestellt, dass sich die Programmbestimmungen von Art. 13 nur zum Teil auf einzelne, in sich abgeschlossene Aussagen innerhalb eines Beitrages oder auf einzelne oder mehrere Sendungen allein beziehen. Die Zielsetzungen im ersten und dritten Satz von Art. 13 Konzession SRG richten sich an das Programmangebot als Ganzes. Nicht jede Einzelsendung hat einen konkreten Beitrag dazu zu leisten. Unzulässig wären indessen Ausstrahlungen, die in direktem Gegensatz zu diesen Verpflichtungen stünden, ihnen geradezu entgegenwirkten, etwa infolge eines ausschliesslich destruktiven Charakters. Solche Sendungen könnten vor den Anforderungen der Konzession nicht mehr standhalten (vgl. VPB 51.29, VPB 50.81, S. 490).</w:t>
      </w:r>
    </w:p>
    <w:p>
      <w:r>
        <w:rPr>
          <w:b/>
        </w:rPr>
        <w:t>E. 4</w:t>
      </w:r>
    </w:p>
    <w:p>
      <w:r>
        <w:t>Fernsehbild beispielsweise nicht von Weingläsern oder -Haschen dominiert, sondern vom stattfindenden Fondue-Essen. Das Lied besteht aus witzigen Texten mit einer eingängigen Melodie und weist parodistische Züge auf. So erzählt es ebenfalls ausführlich von den Après-Ski-Vorzügen wie geringerer Verletzungsgefahr oder grösserer Munterkeit am Abend im Vergleich zu den müden Skifahrern. Diese Elemente zeigen, dass nicht der Alkohol als solcher im Vordergrund gestanden hat. In diesem Sinne ist auch die Szene, in der Trütsch einer jungen Frau ihr Glas reicht, nicht erheblich neben den weiteren Passagen oder neben den Augenblicken, in denen er anderen Gästen eine Gabel mit Fondue reicht. b. Bei der zweiten beanstandeten Szene handelt es sich um eine kurze Rast während einer Abfahrt. Im Bild sind für rund 20 Sekunden die Mitglieder der Ski-Gruppe beim Essen und Weintrinken am Rand der Piste zu sehen. In dieser Sequenz kann man sich mit dem Beschwerdeführer fragen, weshalb der Film nicht auf die Präsentation mit Alkohol verzichtet hat. Weder die Sendung noch die Szene selber hätten an Attraktivität eingebüsst. Allerdings kann von einem Trinkgelage nicht die Rede sein. Auch sah man, nur kurz, nicht mehr als vier Personen gross im Bild mit Wein. Deshalb und angesichts der Kürze der ganzen Sequenz erlangt sie keine nennenswerte Bedeutung. Zudem handelt es sich um eine offenbar nicht ganz realitätsferne (Un-)Sitte einer Art von Gipfeltrunk. Insgesamt hinterlässt die Passage keinen entscheidenden Eindruck für die Sendung. c. Die vorstehenden Ausführungen gelten auch in bezug auf den Satz von Trütsch, mit dem er einen Fahrer erinnert, den Wein im Rucksack nicht zu vergessen. Zunächst bleibt die Aussage auch ohne weiteren Zusammenhang im Raum stehen. Erst nach der Abfahrt, die beim österreichischen Zollhaus endet, kann man bei entsprechender Erinnerung erraten, dass damit offenbar der nachfolgende Schmuggelsketch eingeleitet werden sollte. Wenn auch vielleicht überflüssig, darf dieses drei Sekunden dauernde Zwischenspiel nicht überbewertet werden. d. Die Szene an der schweizerisch-österreichischen Grenze weist einen deutlich kabarettistischen Charakter auf und stellt weniger den Alkohol in den Vordergrund als die Darstellung des offensichtlich sehr unbeholfenen Versuchs, zu schmuggeln, oder gar die Zöllner dazu zu bewegen, grosszügig wegzusehen. Dass der Film bei seinem Halt im Samnaun dieses Thema aufgreift, hat nach Auffassung der Beschwerdeinstanz weniger mit der Anpreisung von Alkohol zu tun, als mit dem von der Schweizerischen Radio- und Fernsehgesellschaft (SRG) erwähnten «Schnaps Tourismus» infolge der zollfreien Zone, der ein geeignetes Sujet für einen Sketch abgegeben hat. Jedenfalls kann man nicht von einer unzulässigen Verherrlichung oder Förderung des Konsums sprechen. Der Sketch hat, auch mit dem Versuch der Sprecher der Gruppe, die österreichische Sprache nachzuahmen, ein weiteres auflockerndes Element in die Sendung gebracht. Wenn man den ganzen Film betrachtet, so ist festzustellen, dass den beanstandeten Sequenzen von der zeitlichen, aber auch von der inhaltlichen Bedeutung her mit Bezug auf die Vorwürfe des Beschwerdeführers kein grosses Gewicht zukommt. Vergleicht man die Sendung mit anderen Beiträgen, beispielsweise Berichterstattungen in Nachrichtensendungen mit oftmals krassen Bildern (etwa von kriegerischen Auseinandersetzungen) oder auch</w:t>
      </w:r>
    </w:p>
    <w:p>
      <w:r>
        <w:rPr>
          <w:b/>
        </w:rPr>
        <w:t>E. 5</w:t>
      </w:r>
    </w:p>
    <w:p>
      <w:r>
        <w:t>Gleichwohl kann man sich fragen, weshalb ein Film dieser Art, der selber nicht unbedingt ein realistisches Bild aus der schweizerischen Alpenwelt vermitteln will, sondern laut Sepp Trütsch eine Auswahl schöner Gegenden zeigt, nun gerade in der Darstellung des Alkohols die Realität nachzeichnen oder nachempfinden soll, wie es die SRG erklärt. In dieser Beziehung sind die Einwände des Beschwerdeführers, die er auch mit verschiedenen Zeitungsausschnitten dokumentiert, berechtigt und verständlich. Wie oben dargelegt, sind sie aber konzessionsrechtlich nicht relevant. Es fällt in die Kompetenz des Fernsehens als «gesellschaftliches Medium», hier das ihm richtig erscheinende Mass an Realität zu finden. So, wie es auch in den anderen Sendungen abwägen muss, wieviel «Realität» - auch was etwa das Angebot auf dem Spielfilmmarkt anbelangt - es an das Publikum weitervermitteln will, verhält es sich im vorliegenden Fall. Damit ist auch gesagt, dass die Konzession - mit Ausnahme von krassen Auswüchsen - keine genügende Rechtsgrundlage bildet, um mittels Radio und Fernsehen gesellschaftliche Phänomene zu steuern (vgl. VPB 51.29).</w:t>
      </w:r>
    </w:p>
    <w:p>
      <w:r>
        <w:rPr>
          <w:b/>
        </w:rPr>
        <w:t>E. 6</w:t>
      </w:r>
    </w:p>
    <w:p>
      <w:r>
        <w:t>Was die Anregung des Beschwerdeführers bezüglich einer verbindlichen Regelung über Tabak- und Alkoholkonsum während der Ausstrahlung von Sendungen anbelangt, so ist die Unabhängige Beschwerdeinstanz dafür der falsche Adressat; der Bundesbeschluss gestattet ihr nur die Überprüfung von Sendungen hinsichtlich der Konzession (vgl. Art. l und 17 BB) und gibt ihr keine Kompetenz zur Anordnung irgendwelcher Massnahmen (vgl. Art. 21 und 22 BB). Der Beschwerdeführer kann seinen Wunsch - soweit er nicht schon erfüllt ist - nur an die SRG selber richten.</w:t>
      </w:r>
    </w:p>
    <w:p>
      <w:r>
        <w:rPr>
          <w:b/>
        </w:rPr>
        <w:t>E. 7</w:t>
      </w:r>
    </w:p>
    <w:p>
      <w:r>
        <w:t>Damit gelangt die Beschwerdeinstanz zum Ergebnis, dass die Sendung aus konzessionsrechtlicher Sicht nicht beanstandet werden kann. 6</w:t>
      </w:r>
    </w:p>
    <w:p>
      <w:r>
        <w:t>Schweizerisches Bundesarchiv, Digitale Amtsdruckschriften Archives fédérales suisses, Publications officielles numérisées Archivio federale svizzero, Pubblicazioni ufficiali digitali JAAC 52.12 - Entscheid der Unabhängigen Beschwerdeinstanz für Radio und Fernsehen, 16. April 1987 In Verwaltungspraxis der Bundesbehörden Dans Jurisprudence des autorités administratives de la Confédération In Giurisprudenza delle autorità amministrative della Confederazione Jahr 1988 Année Anno Band 52 Volume Volume Seite --- Page Pagina Ref. No 150 000 641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