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51.63 vom 21. September 1987</w:t>
      </w:r>
    </w:p>
    <w:p>
      <w:r>
        <w:t>Bundesverwaltung, 1987-09-21, DE</w:t>
      </w:r>
    </w:p>
    <w:p>
      <w:r>
        <w:rPr>
          <w:b/>
        </w:rPr>
        <w:t xml:space="preserve">Quelle: </w:t>
      </w:r>
      <w:r>
        <w:t>https://mcp.opencaselaw.ch/entscheid/ch_vb_JAAC_51.63__</w:t>
      </w:r>
    </w:p>
    <w:p>
      <w:r>
        <w:t>FR: CH_VB JAAC 51.63 du 21 septembre 1987</w:t>
      </w:r>
    </w:p>
    <w:p>
      <w:r>
        <w:t>IT: CH_VB JAAC 51.63 del 21 settembre 1987</w:t>
      </w:r>
    </w:p>
    <w:p>
      <w:pPr>
        <w:pStyle w:val="Heading2"/>
      </w:pPr>
      <w:r>
        <w:t>Erwägungen</w:t>
      </w:r>
    </w:p>
    <w:p>
      <w:r>
        <w:rPr>
          <w:b/>
        </w:rPr>
        <w:t>E. 1</w:t>
      </w:r>
    </w:p>
    <w:p>
      <w:r>
        <w:t>Beschwerden gegen Verfügungen über Pläne fallen, sofern damit keine formelle Enteignung oder Landumlegung verbunden ist, in die Zuständigkeit des Bundesrates (Art. 99 Bst. c OG; Gygi Fritz, Bundesverwaltungsrechtspflege, 2., überarb. Aufl. Bern 1983, S. 106; Schweizerisches Zentralblatt für Staats- und Gemeindeverwaltung [ZB1] 81, S. 90f.; VPB 38.104). Bei allfälliger materieller Enteignung kommt das Verfahren gemäss Art. 44 LFG zur Anwendung. Der Entscheid des EVED kann somit analog der Rechtsprechung betreffend Lärmzonen gemäss Art. 72 ff. VwVG mit Verwaltungsbeschwerde an den Bundesrat weitergezogen werden.</w:t>
      </w:r>
    </w:p>
    <w:p>
      <w:r>
        <w:rPr>
          <w:b/>
        </w:rPr>
        <w:t>E. 2</w:t>
      </w:r>
    </w:p>
    <w:p>
      <w:r>
        <w:t>(Legitimation)</w:t>
      </w:r>
    </w:p>
    <w:p>
      <w:r>
        <w:rPr>
          <w:b/>
        </w:rPr>
        <w:t>E. 3</w:t>
      </w:r>
    </w:p>
    <w:p>
      <w:r>
        <w:t>Aus dem Schreiben des BAZL an die Alpar AG vom 29. August 1983 den Schluss zu ziehen, es seien keine flugtechnischen Untersuchungen gemacht worden, geht fehl. Die flugtechnischen Untersuchungen haben sich aber auf die bestehenden Anlagen beschränkt. Sollten höhere Anlagen einmal geplant werden, müssten diese Projekte wiederum flugtechnischen Untersuchungen unterzogen werden. Schon im jetzigen Zeitpunkt solche Untersuchungen durchführen zu wollen, wäre verfrüht, da der Standort und die Höhe allfälliger zukünftiger Bauten und die Bedürfnisse des Luftverkehrs noch nicht bekannt sind. Das Begehren der Beschwerdeführer, für das Gebiet des Oberen Murifelds die Bewilligungspflicht auf 85 m über Grund festzusetzen, scheint schon deshalb nicht den Bedürfnissen des Luftverkehrs zu entsprechen, da Art. 70 LFV die allgemeine Melde- und Bewilligungspflicht für Luftfahrthindernisse in dicht besiedelten Zonen für das gesamte Gebiet der Schweiz auf 60m über Grund festlegt. Die Ausdehnung der Bewilligungspflicht auf 85 m in einer Sicherheitszone, in der definitionsgemäss strengere Anforderungen gelten müssen, kann somit nicht der Sicherheit des Luftverkehrs entsprechen. Es würde sich in einem solchen Fall zudem die Frage stellen, ob die allgemeinen Bestimmungen über Luftfahrthindernisse nicht auch in Sicherheitszonen zur Anwendung kommen (vgl. Roduner Hermann, Grundeigentumsbeschränkungen von Flughäfen, Zürich 1984, S. 27). Die Frage kann hier aber offengelassen werden. Die Festlegung der Zone II auf 45 m über Grund erscheint somit nicht unverhältnismässig und entspricht den Sicherheitsbedürfnissen des Luftverkehrs.</w:t>
      </w:r>
    </w:p>
    <w:p>
      <w:r>
        <w:rPr>
          <w:b/>
        </w:rPr>
        <w:t>E. 4</w:t>
      </w:r>
    </w:p>
    <w:p>
      <w:r>
        <w:t>Im Eventualbegehren verlangen die Beschwerdeführer eine Besitzstandsgarantie. Der Ansicht, dass das Schreiben des BAZL an die Alpar AG vom 29. August 1983 keine Zusicherung des Wiederaufbaus enthalte, ist zuzustimmen. Es handelte sich dabei nicht um eine bindende Auskunft gegenüber den Beschwerdeführern. Gemäss Art. 58 LFV sind neue Anlagen nicht oder nur gemäss den vom BAZL im Einzelfall bestimmten Auflagen zu bewilligen. Die Baubewilligung kann nur im Einvernehmen mit dem BAZL erteilt werden. Auch beim Wiederaufbau handelt es sich um die Erstellung einer neuen Anlage, die ihrerseits einer neuen Bewilligung bedarf. Die Besitzstandsgarantie gibt kein Wiederaufbaurecht entsprechend dem früheren Bestand (vgl. Zaugg Aldo, Kommentar zum Baugesetz des Kantons Bern vom</w:t>
      </w:r>
    </w:p>
    <w:p>
      <w:r>
        <w:rPr>
          <w:b/>
        </w:rPr>
        <w:t>E. 9</w:t>
      </w:r>
    </w:p>
    <w:p>
      <w:r>
        <w:t>Juni 1985, Bern 1987, Art. I N. 22). Eine Bewilligung gilt ausschliesslich für das bewilligte, konkrete Bauvorhaben; mit dem Untergang der Sache wird sie gegenstandslos (Imboden Max / Rhinow René A., Schweizerische Verwaltungsrechtsprechung, Bd. II, Basel/ Stuttgart 1976, Nr. 132 B VI, S. 981). Diese Grundsätze des Baupolizeirechts können analog auf die polizeilichen Bewilligungen des Luftrechts angewandt werden. Es wird im Rahmen eines allfälligen neuen Bewilligungsverfahrens beurteilt werden müssen, ob der Besitzstand gewahrt werden kann oder nicht. 4</w:t>
      </w:r>
    </w:p>
    <w:p>
      <w:r>
        <w:t>Zudem hat das Bundesgericht mehrmals entschieden, dass die Eigentumsgarantie dem Grundeigentümer keinen unbedingten Anspruch darauf gibt, dass sein Land in jener Zone bleibt, in die es einmal eingewiesen worden ist. Die verfassungsmässige Gewährleistung des Eigentums steht einer nachträglichen Änderung oder Beschränkung der aus einer bestimmten Zoneneinteilung folgenden Nutzungsmöglichkeiten nicht entgegen (VPB 50.82, BGE 109 Ia 114 mit Hinweisen). Die Beschwerdeführer können somit aus der Tatsache, dass der Sicherheitszonenplan für ihr Gebiet neu erstellt wird, keine Ansprüche ableiten; vorbehalten bleibt eine allfällige Entschädigung aus materieller Enteignung.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