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51.62 vom 3. Februar 1987</w:t>
      </w:r>
    </w:p>
    <w:p>
      <w:r>
        <w:t>Bundesverwaltung, 1987-02-03, DE</w:t>
      </w:r>
    </w:p>
    <w:p>
      <w:r>
        <w:rPr>
          <w:b/>
        </w:rPr>
        <w:t xml:space="preserve">Quelle: </w:t>
      </w:r>
      <w:r>
        <w:t>https://mcp.opencaselaw.ch/entscheid/ch_vb_JAAC_51.62__</w:t>
      </w:r>
    </w:p>
    <w:p>
      <w:r>
        <w:t>FR: CH_VB JAAC 51.62 du 3 février 1987</w:t>
      </w:r>
    </w:p>
    <w:p>
      <w:r>
        <w:t>IT: CH_VB JAAC 51.62 del 3 febbraio 1987</w:t>
      </w:r>
    </w:p>
    <w:p>
      <w:pPr>
        <w:pStyle w:val="Heading2"/>
      </w:pPr>
      <w:r>
        <w:t>Erwägungen</w:t>
      </w:r>
    </w:p>
    <w:p>
      <w:r>
        <w:rPr>
          <w:b/>
        </w:rPr>
        <w:t>E. 1</w:t>
      </w:r>
    </w:p>
    <w:p>
      <w:r>
        <w:t>Funktionen. Das Enteignungsrecht besässen die SBB für die Erfüllung einer öffentlichen Aufgabe, weshalb sie dieses Recht auch gegenüber der Bundeszentralverwaltung geltend machen könnten. Diese Auffassung ist nicht richtig. Weil den SBB die eigene Rechtspersönlichkeit abgeht, können sie gar nicht in eigenem Namen Grundstücke erwerben (vgl. Imboden Max/Rhinow René A., Schweizerische Verwaltungsrechtsprechung, Bd. II, Basel/Stuttgart 1976, Nr. 137 B VI). Vielmehr stehen alle Grundstücke der SBB (und alle ihre übrigen Vermögenswerte) im Eigentum des Bundes. Demgemäss ändert sich bei der Abtretung eines Grundstückes aus dem allgemeinen Verwaltungsvermögen des Bundes an die SBB eigentumsrechtlich nichts. Deshalb kann das Enteignungsverfahren in einem solchen Fall nicht Anwendung finden, denn das Enteignungsverfahren dient ausschliesslich dazu, dem Enteignungsberechtigten gegen den Willen des Eigentümers zivilrechtliches Eigentum zu verschaffen. Dies ist - gerade für die Regiebetriebe PTT und SBB - auch die Auffassung der massgebenden Literatur zum Enteignungsrecht: Nach Hess Heinz/Weibel Heinrich, Das Enteignungsrecht des Bundes, Bd. 1, Bern 1986, N 17 zu Art. 3 «erhalten die beiden Regiebetriebe gegen aussen, das heisst gegenüber den Enteigneten, die gleiche Rechtsstellung wie selbständige juristische Personen des öffentlichen Rechts. Im Innenverhältnis sind aber SBB und PTT gegenüber andern Bundesstellen nicht privilegiert. Da es zwischen Bundesstellen wegen Identität des Rechtssubjektes keine Enteignungen geben kann, sind Verlagerungen dinglicher Rechte auch zwischen SBB und PTT (sowie zwischen ihnen und andern Bundesstellen) intern zu regeln.»</w:t>
      </w:r>
    </w:p>
    <w:p>
      <w:r>
        <w:rPr>
          <w:b/>
        </w:rPr>
        <w:t>E. 2</w:t>
      </w:r>
    </w:p>
    <w:p>
      <w:r>
        <w:t>Das in Frage stehende Grundstück ist inzwischen mit dem Einverständnis der Eidg. Finanzverwaltung (EFV), die den Bund vertritt, bereits überbaut worden. Das Einverständnis der EFV ergibt sich aus dem «Teilvergleich» mit den SBB vom 2./4. April 1985. Dieser «Teilvergleich» - fälschlicherweise als Bestandteil eines Enteignungsverfahrens abgeschlossen - kann unter den gegebenen Umständen als interne Vereinbarung zwischen Eidg. Finanzdepartement (EFD) und SBB betrachtet werden.</w:t>
      </w:r>
    </w:p>
    <w:p>
      <w:r>
        <w:rPr>
          <w:b/>
        </w:rPr>
        <w:t>E. 3</w:t>
      </w:r>
    </w:p>
    <w:p>
      <w:r>
        <w:t>Schweizerisches Bundesarchiv, Digitale Amtsdruckschriften Archives fédérales suisses, Publications officielles numérisées Archivio federale svizzero, Pubblicazioni ufficiali digitali JAAC 51.62 - Bundesamt für Justiz, 3. Februar 1987 In Verwaltungspraxis der Bundesbehörden Dans Jurisprudence des autorités administratives de la Confédération In Giurisprudenza delle autorità amministrative della Confederazione Jahr 1987 Année Anno Band 51 Volume Volume Seite --- Page Pagina Ref. No 150 000 527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