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51.60 vom 24. Juni 1987</w:t>
      </w:r>
    </w:p>
    <w:p>
      <w:r>
        <w:t>Bundesverwaltung, 1987-06-24, DE</w:t>
      </w:r>
    </w:p>
    <w:p>
      <w:r>
        <w:rPr>
          <w:b/>
        </w:rPr>
        <w:t xml:space="preserve">Quelle: </w:t>
      </w:r>
      <w:r>
        <w:t>https://mcp.opencaselaw.ch/entscheid/ch_vb_JAAC_51.60__</w:t>
      </w:r>
    </w:p>
    <w:p>
      <w:r>
        <w:t>FR: CH_VB JAAC 51.60 du 24 juin 1987</w:t>
      </w:r>
    </w:p>
    <w:p>
      <w:r>
        <w:t>IT: CH_VB JAAC 51.60 del 24 giugno 1987</w:t>
      </w:r>
    </w:p>
    <w:p>
      <w:pPr>
        <w:pStyle w:val="Heading2"/>
      </w:pPr>
      <w:r>
        <w:t>Erwägungen</w:t>
      </w:r>
    </w:p>
    <w:p>
      <w:r>
        <w:rPr>
          <w:b/>
        </w:rPr>
        <w:t>E. 1</w:t>
      </w:r>
    </w:p>
    <w:p>
      <w:r>
        <w:t>Nach Art. 100 Bst. a OG in Verbindung mit Art. 14 des R vom 15. Juli 1966 für das Bundesarchiv (Bundesarchivreglement, SR 432.11) und Art. 72 ff. VwVG fallen Beschwerden gegen die Verfügung eines Departements betreffend die Verweigerung der Akteneinsicht auf dem Gebiet der inneren oder äusseren Sicherheit des Landes, der Neutralität, des diplomatischen Schutzes und der übrigen auswärtigen Angelegenheiten in die Zuständigkeit des Bundesrates (VPB 47.49). Dieser überprüft die angefochtene Verfügung nach Art. 49 VwVG in vollem Umfang.</w:t>
      </w:r>
    </w:p>
    <w:p>
      <w:r>
        <w:rPr>
          <w:b/>
        </w:rPr>
        <w:t>E. 2</w:t>
      </w:r>
    </w:p>
    <w:p>
      <w:r>
        <w:t>Das vorliegende Beschwerdeverfahren betreffend die Akteneinsicht in den «Bericht R.» steht in engem Zusammenhang mit einem vor ausländischen Gerichten hängigen Rechtsstreit. Es handelt sich dabei um eine vermögensrechtliche Klage eines ausländischen Unternehmens gegen eine Schweizer Bank mit dem Antrag, diese zur Bezahlung einer Summe aus dem Versteigerungserlös von angeblich ihrem Vermögen in einem Drittstaat zu verurteilen. Beim «Bericht R.» handelt es sich um einen umfangreichen Revisionsbericht der Schweizerischen Verrechnungsstelle aus dem Jahre 1946.. .</w:t>
      </w:r>
    </w:p>
    <w:p>
      <w:r>
        <w:rPr>
          <w:b/>
        </w:rPr>
        <w:t>E. 3</w:t>
      </w:r>
    </w:p>
    <w:p>
      <w:r>
        <w:t>Die Beschwerdeführerin beantragt Einsicht in den «Bericht R.», um ihre vor den ausländischen Gerichten hängige Forderungsklage zu substantiieren und um ferner darzulegen, dass dieser «Bericht R.» für die Beweisführung von Bedeutung sei; sie ist sich dabei bewusst, dass es Sache der angerufenen Gerichte ist, den «Bericht R.» auf dem Rechtshilfeweg in die hängigen Gerichtsverfahren einzubringen. a. Mit der internationalen Rechtshilfe unterstützen die Behörden oder Gerichte des ersuchten Staates die Rechtspflege eines ersuchenden Staates; sie nehmen auf ihrem Gebiete Amts- oder Prozesshandlungen vor und übermitteln das Ergebnis den Behörden oder Gerichten des ersuchenden Staates, damit diese es in einem bestimmten Verfahren verwenden können. Als Rechtshilfehandlungen gelten deshalb die Zustellung gerichtlicher und aussergerichtlicher Urkunden, die Beweisaufnahme (Augenschein, Befragung von Zeugen, Parteiverhör, Erhebung von Urkunden, Anforderung von Gutachten usw.) oder die Anordnung vorsorglicher Massnahmen (Sicherung des bestehenden Zustandes bis zum Urteil; VPB 49.16). Für den Rechtshilfeverkehr zwischen der Schweiz und dem betreffenden Staat bei der Erhebung von Urkunden in Zivil- und Handelssachen gilt namentlich die Haager Übereinkunft vom 1. März 1954 betreffend Zivilprozessrecht (HUe, SR 0.274.12) ... Nach Art. 8 HUe kann ein ausländisches Gericht ein Rechtshilfeersuchen an die Schweiz stellen, mit dem die Edition amtlicher Akten verlangt wird. Gemäss einem mit dem betreffenden Staat abgeschlossenen Staatsvertrag darf das ausländische Gericht sein Begehren 2</w:t>
      </w:r>
    </w:p>
    <w:p>
      <w:r>
        <w:t>direkt an das Amtsgericht Bern richten, das darüber nach Art. 240 der bernischen Zivilprozessordnung (Leuch Georg, Die Zivilprozessordnung für den Kanton Bern, Kommentar, 3. Aufl., Bern 1956, S. 253) zu befinden hat, wie weiter vorzugehen sei. Nach dieser Bestimmung in Verbindung mit den im Kreisschreiben des Bundesrates vom 6. Oktober 1911 enthaltenen Richtlinien an sämtliche Kantonsregierungen betreffend die Editionspflicht der Amtsakten und die Zeugnispflicht der Mitglieder des Bundesrates und der Bundesbeamten über Vorgänge in der eidgenössischen Verwaltung (BBl 1911 IV 343) hat sich der Gerichtspräsident an das Eidg. Departement für auswärtige Angelegenheiten (EDA) zu wenden; dieses müsste in der Folge das Interesse der Rechtspflege an der Auskunftserteilung gegenüber den schweizerischen Geheimhaltungsinteressen abwägen (Burckhardt Walther, Schweizerisches Bundesrecht, Staats- und verwaltungsrechtliche Praxis des Bundesrates und der Bundesversammlung seit 1903, Bd. 1, Frauenfeld 1930-1932, S. 65/66). Daraus ergibt sich, dass die gesetzliche Grundlage für eine Rechtshilfe vorhanden ist. Solange aber kein Rechtshilfeersuchen bzw. kein Beweiserhebungsbegehren von den angerufenen Gerichten bei den schweizerischen Behörden gestellt ist, darf der Bundesrat darüber mangels Zuständigkeit nicht urteilen, weshalb auf die Beschwerde unter diesem Gesichtspunkt nicht einzutreten ist. b. Wenn die Beschwerdeführerin meint, sie brauche den «Bericht R.» zur Substantiierung ihrer Forderungsklage vor den Gerichten, so übersieht sie, dass sie ihre Klage schon zu einem Zeitpunkt eingereicht hat, da über das Akteneinsichtsbegehren noch nicht entschieden war. Die Beschwerdeführerin war somit offensichtlich in der Lage, die Klage zu begründen und das Prozessrisiko abzuwägen, ohne den «Bericht R.» im einzelnen zu kennen. Ferner hat die Beschwerdeführerin nicht beachtet, dass nach den kantonalen Zivilprozessordnungen und nach dem Bundeszivilprozess der Richter die Beweisführung leitet; er entscheidet frei, welche Beweise er abnehmen will, das heisst, er darf einen Beweisantrag ablehnen, der Unerhebliches betrifft oder den er als untauglich erachtet. Das urteilende Gericht, nicht die am Verfahren beteiligten Parteien, befinden letzten Endes, welche Sachverhaltselemente der Beweisführung bedürfen. In den Rechtsschriften genügt daher ein förmliches Beweisanerbieten, auch wenn die genannten Beweismittel nicht im Besitz der Prozesspartei sind; es ist Sache des Richters, von diesem Beweisanerbieten Gebrauch zu machen und die genannten Schriftstücke zu edieren (Kummer Max., Grundriss des Zivilprozessrechts,</w:t>
      </w:r>
    </w:p>
    <w:p>
      <w:r>
        <w:rPr>
          <w:b/>
        </w:rPr>
        <w:t>E. 4</w:t>
      </w:r>
    </w:p>
    <w:p>
      <w:r>
        <w:t>verzichtet werden muss; andernfalls müssten tatbeständliche Einzelheiten aufgedeckt werden, die es vorliegend geheimzuhalten gilt. Es verhält sich hier ähnlich wie dann, wenn die Bewilligung zum Erwerb eines schweizerischen Grundstückes durch eine Person im Ausland aus Gründen der militärischen Sicherheit verweigert wird (VPB 38.52, VPB 39.91, VPB 40.6, VPB 41.67).... Daraus ergibt sich, dass die Begehren der Beschwerdeführerin auf ganze oder teilweise Einsicht in den «Bericht R.» abzuweisen sind, soweit darauf einzutreten ist.</w:t>
      </w:r>
    </w:p>
    <w:p>
      <w:r>
        <w:rPr>
          <w:b/>
        </w:rPr>
        <w:t>E. 5</w:t>
      </w:r>
    </w:p>
    <w:p>
      <w:r>
        <w:t>Schweizerisches Bundesarchiv, Digitale Amtsdruckschriften Archives fédérales suisses, Publications officielles numérisées Archivio federale svizzero, Pubblicazioni ufficiali digitali JAAC 51.60 - Auszug aus einem Entscheid des Bundesrates vom 24. Juni 1987 In Verwaltungspraxis der Bundesbehörden Dans Jurisprudence des autorités administratives de la Confédération In Giurisprudenza delle autorità amministrative della Confederazione Jahr 1987 Année Anno Band 51 Volume Volume Seite --- Page Pagina Ref. No 150 000 521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