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 vom 25. Juli 1985</w:t>
      </w:r>
    </w:p>
    <w:p>
      <w:r>
        <w:t>Bundesverwaltung, 1985-07-25, DE</w:t>
      </w:r>
    </w:p>
    <w:p>
      <w:r>
        <w:rPr>
          <w:b/>
        </w:rPr>
        <w:t xml:space="preserve">Quelle: </w:t>
      </w:r>
      <w:r>
        <w:t>https://mcp.opencaselaw.ch/entscheid/ch_vb_JAAC_51.5__</w:t>
      </w:r>
    </w:p>
    <w:p>
      <w:r>
        <w:t>FR: CH_VB JAAC 51.5 du 25 juillet 1985</w:t>
      </w:r>
    </w:p>
    <w:p>
      <w:r>
        <w:t>IT: CH_VB JAAC 51.5 del 25 luglio 1985</w:t>
      </w:r>
    </w:p>
    <w:p>
      <w:pPr>
        <w:pStyle w:val="Heading2"/>
      </w:pPr>
      <w:r>
        <w:t>Erwägungen</w:t>
      </w:r>
    </w:p>
    <w:p>
      <w:r>
        <w:rPr>
          <w:b/>
        </w:rPr>
        <w:t>E. 1</w:t>
      </w:r>
    </w:p>
    <w:p>
      <w:r>
        <w:t>Ein Geheimnis im Sinne dieser Bestimmung ist eine Tatsache des Wirtschaftslebens, die nicht allgemein zugänglich ist, die der Verfügungsberechtigte geheim halten will, an der ein schutzwürdiges Geheimhaltungsinteresse besteht und die eine Binnenbeziehung zur Schweiz aufweist (BGE 65 I 50; BGE 98 IV 210; BGE 104 IV 178; nicht publizierter Entscheid des Kassationshofes vom 19. April 1955 i.S. Comte, zitiert bei Hug Theodor, Der wirtschaftliche Nachrichtendienst im schweizerischen Recht, Diss. Bern 1961, S. 47; Gerber Rudolf, Einige Probleme des wirtschaftlichen Nachrichtendienstes, Schweizerische Zeitschrift für Strafrecht [ZStrR] 93</w:t>
      </w:r>
    </w:p>
    <w:p>
      <w:r>
        <w:rPr>
          <w:b/>
        </w:rPr>
        <w:t>E. 2</w:t>
      </w:r>
    </w:p>
    <w:p>
      <w:r>
        <w:t>(1977), S. 276, 280 ff.; Hug, a.a.O., S. 54 und 59; Lohner Ernst, Der verbotene Nachrichtendienst, ZStrR 83 [1967], S. 144; Riggenbach Dieter, Wirtschaftlicher Nachrichtendienst, Diss. Basel 1966, S. 73 N. 240). a. Bei den übergebenen Unterlagen und denjenigen, deren Aushändigung durch die Bundesanwaltschaft verhindert wurde, handelt es sich um die Rohölgeschäfte der Jahre 1980 und 1981 betreffende Akten; insbesondere die Buchhaltung (Gewinn- und Verlustrechnung, Banken, Debitoren, Kreditoren und Kontrakte), die Telexe, Mitteilungen der Banken (Statements) und Kontraktunterlagen. Aus diesen Dokumenten sind ohne weiteres die gesamte Geschäftstätigkeit der Firma Marc Rich &amp; Co AG mit ihren Banken und Kunden ersichtlich. Die Unterlagen enthalten somit Aufzeichnungen kaufmännischer Tatsachen (Gerber, a.a.O., S. 268; Lohner, a.a.O., S. 139). b. (fehlende allgemeine Zugänglichkeit) c. (Geheimhaltungswille) d. (Geheimhaltungsinteresse) e. Das Interesse an der Geheimhaltung einer bestimmten wirtschaftlichen Tatsache verdient nur dann den Schutz des Art. 273 StGB, wenn diese in einer Beziehung zum schweizerischen Inland steht, beziehungsweise mit dem schweizerischen Wirtschaftsleben verknüpft ist (sinngemäss BGE 104 IV 177 ff.; Gerber, a.a.O., S. 280 und dort zitierte Literatur; nicht publiziertes Urteil der erweiterten Kriminalkammer des Obergerichts des Kantons Bern vom 1. Juli 1983 i.S. E. und D., S. 40; Schmidt Edgar, Der strafrechtliche Schutz des Geschäfts- und Betriebsgeheimnisses in den Ländern der Europäischen Gemeinschaft sowie in Österreich und in der Schweiz II, Kölner Studien zur Rechtsvereinheitlichung, Bd. 3, 1981, S. 287 ff.). Eine zur Sicherung der schweizerischen Gebietshoheit und Volkswirtschaft vor Bespitzelung zugunsten des Auslandes geschaffene Staatsschutznorm kann dem Grundsatze nach nicht ebenfalls den Schutz der Interessen von Personen und Unternehmungen im Ausland bezwecken. Die Erfassung entsprechender ausländischer Geheimnisse durch Art. 273 StGB würde jedenfalls eine besonders enge Verflechtung mit dem Inland voraussetzen, wie sie etwa im Falle eines «joint venture» zwischen einer hiesigen und fremden Unternehmung vorstellbar ist. Solche besonders enge Beziehungen sind im vorliegenden Fall nicht ersichtlich. Ob der Vertrag zwischen einem Partner im Ausland und einem Inländer von Art. 273 StGB erfasst wird, hängt somit davon ab, ob der inländische Vertragspartner und allfällige inländische Dritte ihr Geheimhaltungsinteresse wahrnehmen oder aufgeben. Geben sie es auf, sind regelmässig auch die staatlichen Interessen im Sinne einer Staatsschutznorm nicht mehr berührt. Dabei ist es ebenso ohne Belang, ob der Partner im Ausland Schweizer oder Ausländer ist, wie, ob der Inländer fremder oder schweizerischer Nationalität ist. Abgesehen von den oben genannten Fällen intensivster Verflechtung mit der Schweiz bilden eine Ausnahme von diesem Grundsatz jene seltenen Sachverhalte, in denen ein dem privaten Interesse vorgehendes, direktes gesamtschweizerisches Geheimhaltungsinteresse vorliegt, vor allem bei Belangen der wirtschaftlichen Kriegsvorsorge (Gerber, a.a.O., S. 275). Solche Interessen sind im vorliegenden Fall zu verneinen.</w:t>
      </w:r>
    </w:p>
    <w:p>
      <w:r>
        <w:rPr>
          <w:b/>
        </w:rPr>
        <w:t>E. 3</w:t>
      </w:r>
    </w:p>
    <w:p>
      <w:r>
        <w:t>«Zugänglich machen» heisst, den vom Gesetz umschriebenen Destinatären die Möglichkeit verschaffen, auf unzulässige Weise in schweizerische Wirtschaftsgeheimnisse Einblick zu nehmen (Hug, a.a.O., S. 102; Gerber, a.a.O., S. 299). Durch ihre Zustimmung zum «Agreement and Order» billigten Verwaltungsrat und Geschäftsleitung der Marc Rich &amp; Co AG die Übergabe der Dokumente ausdrücklich. Nach diesem Entscheid wurde ein Grossteil der Akten unverzüglich in die USA geschafft und von Firmenanwälten den Justizbehörden ausgehändigt. Die Ausschaffung weiterer Akten wurde einzig durch die Intervention der Bundesanwaltschaft verhindert. 4.a. Nach Art. 273 StGB wird nur die vorsätzlich begangene Handlung bestraft. Der Täter muss sich demnach bewusst sein, dass er ein Fabrikations- oder Geschäftsgeheimnis zugänglich macht, und er muss dies wollen. Der Tatbestand ist allerdings schon dann erfüllt, wenn der Täter in Kauf nimmt, dass die von ihm mitgeteilten wirtschaftlichen Tatsachen Fabrikations- oder Geschäftsgeheimnisse im Sinne des Gesetzes darstellen und diese ausländischen Stellen zugänglich gemacht werden. Im Hinblick auf die strafrechtliche Verantwortlichkeit der Mitglieder des Verwaltungsrates einer Aktiengesellschaft ist festzuhalten, dass einem Verwaltungsratsmitglied nicht schon kraft seiner gesellschaftsrechtlichen Funktion eine Garantenstellung zukommt (BGE 105 IV 172). Nach den allgemeinen Lehren des schweizerischen Schuldstrafrechts gibt es</w:t>
      </w:r>
    </w:p>
    <w:p>
      <w:r>
        <w:rPr>
          <w:b/>
        </w:rPr>
        <w:t>E. 4</w:t>
      </w:r>
    </w:p>
    <w:p>
      <w:r>
        <w:t>grundsätzlich keine von der konkreten Tatbeteiligung unabhängige strafrechtliche Haftung der Organe einer juristischen Person für Delikte, welche in deren Betrieb von anderen begangen werden (BGE 105 IV 175). Organe wie der Verwaltungsrat sind als Vorsatztäter demnach nur strafbar, wenn sie die Tatbestandsverwirklichung erkennen oder als möglich voraussehen und sie diese dennoch nicht nach ihren Möglichkeiten in der Wirkung aufheben oder verhindern, weil sie sie wollen oder zumindest in Kauf nehmen (BGE 105 IV 177). b. In einer Rechtsschrift liessen die Beschuldigten 1982 nicht nur ausführen, die von den Behörden der USA verlangten Unterlagen enthielten Geschäftsgeheimnisse, sondern auch, dass durch die Aushändigung der Akten Interessen Dritter betroffen seien, über die die Firma Marc Rich &amp; Co AG alleine nicht verfügen könne. Die Firma könne auch in einer Zwangslage niemanden ermächtigen oder verpflichten «Wirtschaftsverrat (Art. 273 StGB) zu begehen». Die Beschuldigten gaben zu, gewusst zu haben, dass die Dokumente auch Wirtschaftsgeheimnisse Dritter enthielten und dass sie unter den gegebenen Umständen die Unterlagen der fremden Justizbehörde haben übergeben wollen. Sie handelten demnach wissentlich und willentlich. c. (Funktion in der Firma und Tatbeteiligung jedes einzelnen Beschuldigten) Die Beschuldigten machten Geschäftsgeheimnisse von in der Schweiz domizilierten Dritten amerikanischen Firmenanwälten zuhanden von Justizbehörden der USA zugänglich. Die Aushändigung weiterer Dokumente wurde nur durch das Einschreiten der Bundesanwaltschaft verhindert. Die Beschuldigten dürften aus diesen Gründen den Tatbestand des wirtschaftlichen Nachrichtendienstes und den Versuch dazu erfüllt haben. III. Ermächtigung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