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51.1 vom 17. März 1986</w:t>
      </w:r>
    </w:p>
    <w:p>
      <w:r>
        <w:t>Bundesverwaltung, 1986-03-17, DE</w:t>
      </w:r>
    </w:p>
    <w:p>
      <w:r>
        <w:rPr>
          <w:b/>
        </w:rPr>
        <w:t xml:space="preserve">Quelle: </w:t>
      </w:r>
      <w:r>
        <w:t>https://mcp.opencaselaw.ch/entscheid/ch_vb_JAAC_51.1__</w:t>
      </w:r>
    </w:p>
    <w:p>
      <w:r>
        <w:t>FR: CH_VB JAAC 51.1 du 17 mars 1986</w:t>
      </w:r>
    </w:p>
    <w:p>
      <w:r>
        <w:t>IT: CH_VB JAAC 51.1 del 17 marzo 1986</w:t>
      </w:r>
    </w:p>
    <w:p>
      <w:pPr>
        <w:pStyle w:val="Heading2"/>
      </w:pPr>
      <w:r>
        <w:t>Erwägungen</w:t>
      </w:r>
    </w:p>
    <w:p>
      <w:r>
        <w:rPr>
          <w:b/>
        </w:rPr>
        <w:t>E. 1</w:t>
      </w:r>
    </w:p>
    <w:p>
      <w:r>
        <w:t>Der angefochtene Verwaltungsakt des Eidg. Militärdepartementes ist eine Verfügung im Sinne von Art. 5 VwVG und unterliegt nach Art. 100 Bst. e Ziff. 1 OG in Verbindung mit Art. 72 ff. VwVG der Beschwerde an den Bundesrat. Der Beschwerdeführer ist durch die Verfügung unmittelbar berührt und hat ein schätzenswertes Interesse an der Anfechtung (Art. 48 Bst. a VwVG). Indessen ist die Beschwerde vom 20. September 1985 zugegebenermassen verspätet eingereicht worden. Denn die Verfügung des Eidg. Militärdepartementes vom 9. August 1985 wurde dem Beschwerdeführer am 12. August eröffnet. Mithin begann die dreissigtägige Beschwerdefrist am 13. August 1985 zu laufen und endete am 11. September (Art. 20 f. und 50 VwVG). Im folgenden ist zu prüfen, ob aufgrund der geltend gemachten Verspätungsgründe trotzdem auf die Beschwerde einzutreten ist.</w:t>
      </w:r>
    </w:p>
    <w:p>
      <w:r>
        <w:rPr>
          <w:b/>
        </w:rPr>
        <w:t>E. 2</w:t>
      </w:r>
    </w:p>
    <w:p>
      <w:r>
        <w:t>Arbeitsüberlastung nicht als unverschuldete Verhinderungsgründe, die im Sinne von Art. 24 Abs. 1 VwVG die Wiederherstellung der Frist erlaubten (Gygi, a.a.O., S. 62; Grisel, a.a.O., S. 895 ff.; ferner dort zitierte Rechtsprechung). Aus den gleichen Gründen kann der Beschwerdeführer nichts aus dem Umstand ableiten, dass der Vorgesetzte im Besitz der Unterlagen war. Er hat dies selber zu vertreten und wäre in der Lage gewesen, die Unterlagen zurückzuverlangen und die Beschwerde fristgemäss einzureichen. Ein Wiederherstellungsgrund ist daher nicht ersichtlich und auf die Beschwerde aus diesen Gründen nicht einzutreten.</w:t>
      </w:r>
    </w:p>
    <w:p>
      <w:r>
        <w:rPr>
          <w:b/>
        </w:rPr>
        <w:t>E. 3</w:t>
      </w:r>
    </w:p>
    <w:p>
      <w:r>
        <w:t>Schweizerisches Bundesarchiv, Digitale Amtsdruckschriften Archives fédérales suisses, Publications officielles numérisées Archivio federale svizzero, Pubblicazioni ufficiali digitali JAAC 51.1 - Entscheid des Bundesrates vom 17. März 1986 In Verwaltungspraxis der Bundesbehörden Dans Jurisprudence des autorités administratives de la Confédération In Giurisprudenza delle autorità amministrative della Confederazione Jahr 1987 Année Anno Band 51 Volume Volume Seite --- Page Pagina Ref. No 150 000 380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