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51.16 vom 11. September 1985</w:t>
      </w:r>
    </w:p>
    <w:p>
      <w:r>
        <w:t>Bundesverwaltung, 1985-09-11, DE</w:t>
      </w:r>
    </w:p>
    <w:p>
      <w:r>
        <w:rPr>
          <w:b/>
        </w:rPr>
        <w:t xml:space="preserve">Quelle: </w:t>
      </w:r>
      <w:r>
        <w:t>https://mcp.opencaselaw.ch/entscheid/ch_vb_JAAC_51.16__</w:t>
      </w:r>
    </w:p>
    <w:p>
      <w:r>
        <w:t>FR: CH_VB JAAC 51.16 du 11 septembre 1985</w:t>
      </w:r>
    </w:p>
    <w:p>
      <w:r>
        <w:t>IT: CH_VB JAAC 51.16 del 11 settembre 1985</w:t>
      </w:r>
    </w:p>
    <w:p>
      <w:pPr>
        <w:pStyle w:val="Heading2"/>
      </w:pPr>
      <w:r>
        <w:t>Erwägungen</w:t>
      </w:r>
    </w:p>
    <w:p>
      <w:r>
        <w:rPr>
          <w:b/>
        </w:rPr>
        <w:t>E. 1</w:t>
      </w:r>
    </w:p>
    <w:p>
      <w:r>
        <w:t>Das Gesuch stützt sich auf Art. 3 BVG. Danach können Berufsgruppen von Selbständigerwerbenden auf Gesuch hin durch Beschluss des Bundesrates der obligatorischen Versicherung allgemein oder für einzelne Risiken unterstellt werden. Zur Einreichung eines solchen Unterstellungsgesuches an den Bundesrat sind die Berufsverbände legitimiert, denen die Mehrheit der Selbständigerwerbenden der betreffenden Berufsgruppen angehören.</w:t>
      </w:r>
    </w:p>
    <w:p>
      <w:r>
        <w:rPr>
          <w:b/>
        </w:rPr>
        <w:t>E. 2</w:t>
      </w:r>
    </w:p>
    <w:p>
      <w:r>
        <w:t>…</w:t>
      </w:r>
    </w:p>
    <w:p>
      <w:r>
        <w:rPr>
          <w:b/>
        </w:rPr>
        <w:t>E. 3</w:t>
      </w:r>
    </w:p>
    <w:p>
      <w:r>
        <w:t>vom 19. Dezember 1975 deutlich zeigt (BBl 1976 I 252). Dieses Vorgehen des Ausschusses für die berufliche Vorsorge entspricht dem damals allgemein befolgten Bestreben, Zahl und Umfang der aufzustellenden Normen auf ein absolutes Minimum zu beschränken. Im weiteren können, wie an anderer Stelle noch näher darauf einzugehen sein wird, vom Lohnbegriff ebenfalls gewisse Schlüsse auf diese drei Begriffe gezogen werden, die auf eine Definition im Sinne der Alters- und Hinterlassenenversicherung hindeuten. Die im ersten Vorentwurf enthaltene Legaldefinition des Arbeitnehmer- und Selbständigerwerbendenbegriffs ist folglich mit andern Worten im Lohnbegriff gewissermassen integriert worden. b. Neben den Materialien ist für eine Interpretation des Selbständigerwerbendenbegriffs aber auch auf Zweck und Aufgabe der beruflichen Vorsorge, wie sie in Art. 34quater Abs. 3 BV verankert sind, abzustellen. Danach soll bekanntlich die berufliche Vorsorge (2. Säule) zusammen mit den Leistungen der Alters- und Hinterlassenenversicherung/Invalidenversicherung (1. Säule) die Fortsetzung der gewohnten Lebenshaltung ermöglichen. Im Gesamtsystem der Alters-, Hinterlassenen- und Invalidenvorsorge tritt die 2. Säule demnach ergänzend zur 1. Säule hinzu (Botschaft vom 10. November 1971, BBl 1971 II 1624 f.). Eine gewisse Koordination zwischen diesen beiden Sozialversicherungszweigen wird damit notwendig. Eine solche wird in der beruflichen Vorsorge insbesondere auf dem Gebiet des zu erfassenden Personenkreises (Art. 2-5 BVG) sowie des versicherten Lohnes (Art. 7 und 8 BVG) vorgenommen. Wie bereits zuvor kurz erwähnt, richtet sich der Lohnbegriff in der beruflichen Vorsorge nach dem Begriff des massgebenden Lohnes in der AHV (Art. 7 BVG). Als massgebender Lohn gilt gemäss Art. 5 Abs. 2 AHVG jedes Entgelt für in unselbständiger Stellung auf bestimmte oder unbestimmte Zeit geleistete Arbeit. Wer für einen anderen in dieser Stellung beschäftigt ist, gilt folglich als Arbeitnehmer (Wegleitung AHV/IV/EO über den Bezug der Beiträge, Rz 35). Mit dieser Abgrenzung zwischen massgebendem Lohn einerseits und Erwerbseinkommen aus selbständiger Erwerbstätigkeit andererseits wird zugleich auch die Grenze zwischen unselbständiger und selbständiger Erwerbstätigkeit gezogen (vorerwähnte Wegleitung Rz 12a, 15c und 22). Die Lohndefinition in Art. 7 BVG gibt damit die Richtung an, wie die für den persönlichen Geltungsbereich (Art. 2-5 BVG) zentralen Begriffe «Arbeitnehmer» und «Selbständigerwerbender» verstanden werden müssen. Nur indem man diese beiden Begriffe ebenfalls im Sinne der AHV-Gesetzgebung und -Praxis versteht, ergibt sich ein logisches Gefüge zwischen dem erfassten Personenkreis, dem versicherten Lohn (der eben deshalb als «koordinierter Lohn» bezeichnet wird) und der erwähnten Ergänzungsfunktion der 2. Säule gemäss Art. 34quater Abs. 3 BV. Es liesse sich mit dem Sinn und Zweck des BVG nicht rechtfertigen, wenn ein und dieselbe Person für die gleiche Erwerbstätigkeit in der AHV als Unselbständigerwerbende versichert, dagegen in der 2. Säule als Selbständigerwerbende von der obligatorischen Versicherung ausgeschlossen wäre. Hinzu kommt, dass die umgekehrte Konstellation, nämlich ein Ausschluss aus der AHV, dagegen aber eine Erfassung in der obligatorischen BVG-Versicherung gemäss Art. 5 Abs. 1 BVG, gerade angesichts dieser Ergänzungsfunktion der 2. Säule, gar nicht zulässig wäre (Botschaft vom 19. Dezember 1975, BBl 1976 I 252, Erläuterungen zu Art. 2 BVG-Entwurf).</w:t>
      </w:r>
    </w:p>
    <w:p>
      <w:r>
        <w:rPr>
          <w:b/>
        </w:rPr>
        <w:t>E. 4</w:t>
      </w:r>
    </w:p>
    <w:p>
      <w:r>
        <w:t>Art. 3 BVG ist als «Kann-Vorschrift» ausgestaltet und verleiht deshalb den durch das Gesuch betroffenen Personen keinen Rechtsanspruch auf Unterstellung unter die obligatorische Versicherung für Selbständigerwerbende. Dennoch wird sich der Bundesrat in seinem Entscheid von rechtlichen und objektiven Erwägungen leiten lassen.</w:t>
      </w:r>
    </w:p>
    <w:p>
      <w:r>
        <w:rPr>
          <w:b/>
        </w:rPr>
        <w:t>E. 5</w:t>
      </w:r>
    </w:p>
    <w:p>
      <w:r>
        <w:t>Die Angehörigen der vorliegenden Berufsgruppe, so wie sie vom Verband X definiert werden, nehmen in der Alters- und Hinterlassenenversicherung praktisch ausnahmslos die Stellung als Unselbständigerwerbende ein. In der beruflichen Vorsorge sind sie folgerichtig als Arbeitnehmer und nicht als Selbständigerwerbende zu betrachten. Die fehlende Eigenschaft als Selbständigerwerbende bewirkt, dass eine Unterstellung der Mitglieder dieser Berufsgruppe unter die obligatorische Versicherung im Sinne von Art. 3 BVG vom Bundesrat nicht angeordnet werden kann. …</w:t>
      </w:r>
    </w:p>
    <w:p>
      <w:r>
        <w:rPr>
          <w:b/>
        </w:rPr>
        <w:t>E. 6</w:t>
      </w:r>
    </w:p>
    <w:p>
      <w:r>
        <w:t>Schweizerisches Bundesarchiv, Digitale Amtsdruckschriften Archives fédérales suisses, Publications officielles numérisées Archivio federale svizzero, Pubblicazioni ufficiali digitali JAAC 51.16 - Auszug aus einem Entscheid des Bundesrates vom 11. September 1985 In Verwaltungspraxis der Bundesbehörden Dans Jurisprudence des autorités administratives de la Confédération In Giurisprudenza delle autorità amministrative della Confederazione Jahr 1987 Année Anno Band 51 Volume Volume Seite --- Page Pagina Ref. No 150 000 368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