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Frage 14: vom 18. März 1985</w:t>
      </w:r>
    </w:p>
    <w:p>
      <w:r>
        <w:t>Bundesverwaltung, 1985-03-18, DE</w:t>
      </w:r>
    </w:p>
    <w:p>
      <w:r>
        <w:rPr>
          <w:b/>
        </w:rPr>
        <w:t xml:space="preserve">Quelle: </w:t>
      </w:r>
      <w:r>
        <w:t>https://mcp.opencaselaw.ch/entscheid/ch_vb_Frage_14_</w:t>
      </w:r>
    </w:p>
    <w:p>
      <w:r>
        <w:t>FR: CH_VB Frage 14: du 18 mars 1985</w:t>
      </w:r>
    </w:p>
    <w:p>
      <w:r>
        <w:t>IT: CH_VB Frage 14: del 18 marzo 1985</w:t>
      </w:r>
    </w:p>
    <w:p>
      <w:pPr>
        <w:pStyle w:val="Heading2"/>
      </w:pPr>
      <w:r>
        <w:t>Erwägungen</w:t>
      </w:r>
    </w:p>
    <w:p>
      <w:r>
        <w:rPr>
          <w:b/>
        </w:rPr>
        <w:t>E. 18</w:t>
      </w:r>
    </w:p>
    <w:p>
      <w:r>
        <w:t>mars 1985 1. Welche grob geschätzte Netto-Ertragseinbusse ist aus einer solchen Massnahme bei den SBB, Privatbahnen und PTT insgesamt zu erwarten ? 2. Welche praktischen Konsequenzen hätte die vorgeschla- gene je hälftige Belastung dieses Ausfalles a. auf die Rechnung des Bundes, und b. auf die Verteilung der Treibstoffzölle ? Bundesrat Schlumpt: Wir können die Frage von Nationalrat Lüchinger heute überhaupt noch nicht beantworten, weil es schwierig und so kurzfristig gar unmöglich ist, verlässliche Angaben über die Frage eines Nettoausfalles bei einer linea- ren Tarifreduktion im Personenverkehr zu machen. Das zu tun, wäre hier von einer Behörde, die für ihre Angaben auch geradestehen muss, nicht zu verantworten. Die aufgeworfenen Fragen werden im Zusammenhang mit dem Bericht, den wir bis im Herbst dieses Jahres zu den Fragen «Förderung des öffentlichen Verkehrs» im Rahmen der Waldmassnahmen vorlegen werden, sorgfältig geprüft. Die Prüfung ist bereits im Gange; sie war es schon längst bevor dieser Vorstoss auf unseren Tisch kam. Wir können deshalb die in der Presse in den letzten Tagen genannten Zahlen über Brutto- und Nettoausfälle weder dementieren noch bestätigen. Man könnte fast neidisch werden auf andere, die so kurzfristig derart komplizierte Rechnungen anstellen können. Präsident: Damit sind wir am Schluss der Fragestunde. Herr Ruf-Bern möchte noch eine persönliche Erkärung ab- geben. Ruf-Bern: Nach dieser Fragestunde sehe ich mich leider genötigt, in aller Form gegen die ungleichen Massstäbe zu protestieren, die bei der Stellung von Zusatzfragen in zeitli- cher Hinsicht angewendet werden. Herr Butty und Herr Sager konnten rund 90 Sekunden ungehindert sprechen; mein Kollege Gehen und ich wurden frühzeitig abgeläutet. Ich selbst konnte nicht einmal einen kurzen Einleitungssatz zu der anschliessenden Zusatzfrage formulieren. Nun ist es ja so, dass Herr Butty und Herr Sager Regierungs- fraktionen angehören. Aufgrund der heutigen und früherer Beobachtungen - auch unter dem Vorgänger des jetzigen Präsidenten - liegt der Verdacht nahe und ist nicht von der Hand zu weisen, dass Mitglieder von Regierungsfraktionen einen grösseren Spielraum geniessen, als dies bei Ratsmit- gliedern oppositioneller Parteien der Fall ist. Ein solches Vorgehen geht natürlich nicht; ein derartiger Zustand ist unseres Rates unwürdig und unhaltbar! Ich möchte deshalb den Präsidenten auffordern, künftig Fairness walten zu lassen und das Reglement für sämtliche Ratsmitglieder gleich anzuwenden: entweder gleich streng oder gleich grosszügig. Welche Variante er wählt, ist von sekundärer Bedeutung; die Praxis sollte einfach für alle gleich sein. Ich werde mir erlauben, in Zukunft bei Zusatz- fragen und in ähnlichen Fällen - so etwa bei persönlichen Erklärungen - Buch zu führen, um gegebenenfalls wieder diesbezüglich zu intervenieren. Präsident: Ich antworte gerne. Das Reglement ist klar. Es heisst ausdrücklich, man könne eine Zusatzfrage stellen und nicht politische Stellungnahmen abgeben. Herr Widmer hat jüngst in einer Umfrage gesagt, die Frage- stunde sei ein harmloses Vergnügen, an dem man eigentlich festhalten sollte. Wenn wir alle nur ein wenig vom Humor der Briten hätten, die diese Institution erfunden haben, dann könnte sie das sein und bleiben. Was ich aber als Ratspräsi- dent nicht zulassen darf, ist, dass die Möglichkeit, eine sachbezogene Zusatzfrage zu stellen, zu einer privilegierten Interpellation entartet. Das war der Sinn meiner Intervention. (Beifall) #ST# 84.036 Kulturinitiative Initiative populaire «en faveur de la culture» Fortsetzung - Suite Siehe Seite 524 hìervor - Voir page 524 ci-devant M. Cavedini: On ne saurait impunément s'opposer à la cul- ture et celle-ci, d'ailleurs, vous le rappellerait rapidement. 'C'est dire que notre proposition de non-entrée en matière sur un contre-projet à l'initiative populaire ne signifie pas un quelconque mépris de la culture pas plus qu'il n'évoque une volonté de tenir ce domaine pour médiocre. Bien au con- traire. C'est parce que nous avons de la culture une haute idée et un respect déclaré, que nous combattons ces deux projets. La concrétisation des propositions formulées dans l'initiative entraînerait à coup sûr un affaiblissement de la souveraineté cantonale en matière culturelle. Il suffit d'être attentif aux compétences que les initiants souhaitent voir accorder à la Confédération. Nous n'y reviendrons donc pas longuement. On peut, en outre, observer que la notion culturelle qui est exprimée se révèle bien vague; elle s'étend de la défense du patrimoine à la vie culturelle et elle prend en compte aussi bien les équipements que la pluralité lin- guistique. Elle se préoccupe de relations interrégionales et des intérêts particuliers et tout cela en garantissant une souveraineté cantonale, ce qui nous paraît un véritable tour de force. Les moyens financiers réclamés sont à la fois excessifs et insuffisants selon l'importance que l'on donne aux tâches décrites. Quant à la clause du pour-cent, elle n'est simplement pas acceptable pour des raisons évidentes de l'universalité du budget; la rigidité de la technique finan- cière préconisée conduirait à des conséquences que nous repoussons. On peut imaginer un budget national prédéter- miné par la constitution réservant des pourcentages définiti- vement acquis, par exemple à la défense nationale, à la prévoyance sociale, à l'agriculture ou à la recherche. La tâche du gouvernement et du Parlement en serait sûrement allégée mais la conduite des affaires de l'Etat n'aurait plus beaucoup de signification. Nous n'avons donc aucune hési- tation à vous recommander le rejet de l'initiative populaire en faveur de la culture. Mais faut-il proposer un contre-projet? Peut-on répéter, avec le Conseil fédéral, que, dans notre pays, la culture relève d'abord et surtout des particuliers et de leur libre association? Que l'intervention publique ne doit s'effectuer que si les moyens ne suffisent pas? Qu'au surplus, cette aide publique concerne en première ligne les communes et les cantons? La Confédération n'a pas à se substituer à ces deux interlocuteurs qui n'ont pas failli à leur tâche. L'ana- lyse des comptes culturels des collectivités publiques mon- trait en 1970 la répartition des dépenses d'investissements suivante: communes 64,3 pour cent, cantons 30,5 pour cent, Confédération 5,2 pour cent. En ce qui concerne les dépenses de fonctionnement, la situation était celle-ci: communes: 52 pour cent, cantons: 43,3 pour cent, Confédération: 4,7 pour cent. Les rapports se sont peu modifiés et nous observons que les cantons ou les communes ont multiplié par deux ou trois fois leur engagement financier dans ce secteur. Je peux mentionner un exemple parmi beaucoup d'autres: le canton de Neuchâ- tel consacrait un million à la culture en 1979; il en consacre 3,3 millions en 1985. Un journal affirmait hier avoir retrouvé trace des chiffres suivants pour 1981: communes: 800 mil- lions, cantons: 350 millions, Confédération: 180 millions, sport et loisirs compris. Et si l'on prenait en compte les engagements en faveur de l'instruction publique qui, sur le plan confédéral, sont parfois mis en compte au titre culturel, on aboutirait à des conclusions tout à fait écrasantes. Qu'il nous soit permis de dire qu'il convient d'abord de</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11 Séance Seduta Geschäftsnummer --- Numéro d'objet Numero dell'oggetto Datum 18.03.1985 - 14:30 Date Data Seite 532-540 Page Pagina Ref. No</w:t>
      </w:r>
    </w:p>
    <w:p>
      <w:r>
        <w:rPr>
          <w:b/>
        </w:rPr>
        <w:t>E. 20</w:t>
      </w:r>
    </w:p>
    <w:p>
      <w:r>
        <w:t>013 220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