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95.3374 vom 4. Oktober 1995</w:t>
      </w:r>
    </w:p>
    <w:p>
      <w:r>
        <w:t>Bundesverwaltung, 1995-10-04, DE</w:t>
      </w:r>
    </w:p>
    <w:p>
      <w:r>
        <w:rPr>
          <w:b/>
        </w:rPr>
        <w:t xml:space="preserve">Quelle: </w:t>
      </w:r>
      <w:r>
        <w:t>https://mcp.opencaselaw.ch/entscheid/ch_vb_95.3374</w:t>
      </w:r>
    </w:p>
    <w:p>
      <w:r>
        <w:t>FR: CH_VB 95.3374 du 4 octobre 1995</w:t>
      </w:r>
    </w:p>
    <w:p>
      <w:r>
        <w:t>IT: CH_VB 95.3374 del 4 ottobre 1995</w:t>
      </w:r>
    </w:p>
    <w:p>
      <w:pPr>
        <w:pStyle w:val="Heading2"/>
      </w:pPr>
      <w:r>
        <w:t>Erwägungen</w:t>
      </w:r>
    </w:p>
    <w:p>
      <w:r>
        <w:rPr>
          <w:b/>
        </w:rPr>
        <w:t>E. 4</w:t>
      </w:r>
    </w:p>
    <w:p>
      <w:r>
        <w:t>octobre 1995 Grenze zu stützen? Ist er bereit, andere Massnahmen zu tref- fen, welche rasch greifen und Wirkung zeigen? Texte de l'interpellation du 19 septembre 1995 L'écoulement de la viande et de produits carnés suisses sur le marché est au plus bas, tant sur le plan quantitatif qu'en ce qui concerne les prix. Ainsi, les prix que les producteurs ob- tiennent pour la viande de porc sont tombés au niveau des années soixante. En revanche, le coût de la production n'a guère baissé ces dernières années; notamment les prix du fourrage (fourrage à base de céréales et concentrés azotés) n'ont presque pas baissé. Dans de nombreux cas, le prix de la viande ne couvre plus, et de loin, le coût de la production. La situation est dépri- mante pour de nombreux agriculteurs. Les conséquences fi- nancières sont catastrophiques et de nombreux producteurs de viande sont au bord de la ruine. La libéralisation des échanges a des effets beaucoup plus considérables et plus rapides que nous ne l'avions prévu. Ses effets sont amplifiés par d'autres facteurs tels que la mo- dification des habitudes de consommation, la crise du tou- risme, etc. Il est urgent d'agir pour parer à ces inconvénients. Nous demandons au Conseil fédéral de répondre aux ques- 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