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95.3283 vom 3. Oktober 1995</w:t>
      </w:r>
    </w:p>
    <w:p>
      <w:r>
        <w:t>Bundesverwaltung, 1995-10-03, DE</w:t>
      </w:r>
    </w:p>
    <w:p>
      <w:r>
        <w:rPr>
          <w:b/>
        </w:rPr>
        <w:t xml:space="preserve">Quelle: </w:t>
      </w:r>
      <w:r>
        <w:t>https://mcp.opencaselaw.ch/entscheid/ch_vb_95.3283</w:t>
      </w:r>
    </w:p>
    <w:p>
      <w:r>
        <w:t>FR: CH_VB 95.3283 du 3 octobre 1995</w:t>
      </w:r>
    </w:p>
    <w:p>
      <w:r>
        <w:t>IT: CH_VB 95.3283 del 3 ottobre 1995</w:t>
      </w:r>
    </w:p>
    <w:p>
      <w:pPr>
        <w:pStyle w:val="Heading2"/>
      </w:pPr>
      <w:r>
        <w:t>Volltext</w:t>
      </w:r>
    </w:p>
    <w:p>
      <w:r>
        <w:t>Initiative parlementaire (Ruesch) 982 3 octobre 1995 Präsident: Ich stelle fest, dass die parlamentarische Initia- tive Salvioni zurückgezogen ist. Ich stelle weiter fest, dass ein Ordnungsantrag vorliegt, wonach die Behandlung der Motion (95.3386) ausgesetzt wird, bis die Stellungnahme des Bun- desrates vorliegt. - Sie sind damit einverstanden. Zurückgezogen - Retiré #ST# 95.3283 Postulat Reymond Bäuerliches Bodenrecht. Auswirkungen Effets de la loi sur le droit foncier rural Wortlaut des Postulates vom 20. Juni 1995 Der Bundesrat wird eingeladen, einen Bericht zu erarbeiten, der, gesondert nach Kantonen, Auskunft gibt über die positi- ven und negativen Auswirkungen des Bundesgesetzes über das bäuerliche Bodenrecht. Zu diesem Zweck wird es nötig sein, die Notare und die Grundbuchführer sowie die Land- wirtschaftskreise und die Banken zu konsultieren. Texte du postulat du 20 juin 1995 Le Conseil fédéral est prié d'établir un rapport sur les effets positifs et négatifs, par canton, de la loi fédérale sur le droit foncier rural. Il conviendra, pour cela, de consulter notam- ment les notaires, les conservateurs du Registre foncier, voire les milieux agricoles et bancaires. Mitunterzeichner - Cosignataires: Cavadini Jean, Coutau(2) Reymond Hubert (L, VD): En réservant l'exclusivité de l'ac- quisition des terres agricoles aux seuls exploitants, le nou- veau droit foncier rural peut avoir des conséquences diver- ses, positives ou négatives, sur la structure de la propriété et sur celle de l'agriculture. Il peut aussi résulter de cette légis- lation des effets imprévus touchant aux relations familiales, à l'impossibilité d'agrandir des domaines remis à ferme, à l'ab- sence de concurrence sur le marché des terres, aux man- ques de garanties pour les créanciers, etc. Bref, il nous semblerait utile que le Conseil fédéral fasse éta- blir un rapport à ce sujet. Il conviendra pour cela de consulter notamment les notaires, les conservateurs de registres fon- ciers, voire les milieux agricoles et bancaires. C'est là l'objet de notre postulat, à savoir le souhait que le Conseil fédéral puisse faire établir ce rapport. Koller Arnold, Bundesrat: Herr Reymond lädt den Bundesrat ein, einen Bericht über die positiven und negativen Auswir- kungen des Bundesgesetzes über das bäuerliche Boden- recht (BGBB) erstellen zu lassen. Das Bundesgesetz über das bäuerliche Bodenrecht ist nun seit gut eineinhalb Jahren in Kraft. Seit Erlass des Bundesge- setzes hat sich eine erfreuliche Beruhigung auf dem landwirt- schaftlichen Immobilienmarkt eingestellt. Ohne jetzt dem Be- richt vorgreifen zu wollen, glaube ich sagen zu dürfen, dass es uns mit diesem Bundesgesetz gelungen ist, die Spekula- tion weitestgehend aus dem landwirtschaftlichen Boden- markt herauszunehmen. Auf der anderen Seite zeigt sich, dass natürlich die Anwendung und Implementation auch die- ses Gesetzes gewisse Probleme stellt; das wussten wir schon von Anfang an. Vor allem bereiten offenbar das soge- nannte Realteilungs- und Zerstückelungsverbot und das Bewilligungsverfahren beim Erwerb in der Implementations- phase gewisse Probleme. Der Bundesrat ist daher bereit, diesen gewünschten Bericht zu erstellen, vor allem auch, weil wir uns bewusst sind, dass die schweizerische Landwirtschaft zurzeit in einem grossen Umbruch begriffen ist und dass es vor allem auch zu erheben gilt, ob allenfalls das BGBB tatsächlich mit einzelnen Bestim- mungen dieser nötigen Strukturveränderung in der Landwirt- schaft entgegensteht. Im übrigen fördert der Bundesrat ganz generell vermehrte Wirkungsanalysen von Gesetzen, vor al- lem dann, wenn sie sich mit einem vernünftigen Aufwand be- werkstelligen lassen. Wir sind der Meinung, dass sich das hier mit einer umfassenden Umfrage bei allen Kantonen tat- sächlich erreichen lässt. In diesem Sinne sind wir bereit, das Postulat Reymond ent- gegenzunehmen. Überwiesen - Transmis #ST# 91.424 Parlamentarische Initiative (Ruesch) Revision der Gesetzesbestimmungen über die parlamentarische Immunität Initiative parlementaire (Ruesch) Révision des dispositions légales sur l'immunité parlementaire Differenzen - Divergences Siehe Jahrgang 1994, Seite 1030 - Voir année 1994, page 1030 Beschluss des Nationalrates vom 12. Juni 1995 Décision du Conseil national du 12 juin 1995 Antrag der Kommission Zustimmung zum Beschluss des Nationalrates (= Nichteintreten) Proposition de la commission Adhérer à la décision du Conseil national (= Ne pas entrer en matière) Salvioni Sergio (R, TI), rapporteur: Je peux me permettre d'être très bref, car notre Conseil a déjà discuté de l'initiative parlementaire Ruesch une première fois. Le thème est donc connu. Vous vous souvenez que la commission vous avait proposé de donner suite à l'initiative parlementaire Ruesch, tout en soulignant que la modification proposée était minimale et qu'elle avait, au fond, le but de permettre aux deux Conseils d'inaugurer une jurisprudence plus sévère pour ce qui con- cerne l'immunité parlementaire relative, parce qu'il s'agit bien de cela. Elle précisait en effet que l'immunité devait être ad- mise si le rapport entre l'infraction et l'activité parlementaire était, pour l'essentiel, donné. On avait alors relevé que cette modification de la jurisprudence des Chambres aurait été possible même sans la modification de l'article 14 alinéa 1er de la loi fédérale sur la responsabilité de la Confédération, des membres de ses autorités et de ses fonctionnaires. La raison pour laquelle votre commission vous avait proposé d'accepter cette modification de la loi résidait dans l'intention de donner une raison concrète, un terme précis aux Cham- bres pour modifier leur jurisprudence. Le Conseil national avait reçu entre temps les considérations du Département fé- déral de justice et police et du Tribunal fédéral avec une éva- luation des cas d'immunité qui auraient été jugés différem- ment si le nouveau texte proposé avait été en vigueur. Le DFJP et le TF avaient conclu dans le sens que la modification ne s'imposait pas et que les Chambres auraient pu modifier leur jurisprudence, même sans modification de la loi. La Commission des affaires juridiques du Conseil national, suivie par ce dernier, n'est pas entrée en matière. Votre com- mission, au vu de la prise de position du DFJP, de la docu-</w:t>
      </w:r>
    </w:p>
    <w:p>
      <w:r>
        <w:t>Schweizerisches Bundesarchiv, Digitale Amtsdruckschriften Archives fédérales suisses, Publications officielles numérisées Archivio federale svizzero, Pubblicazioni ufficiali digitali Postulat Reymond Bäuerliches Bodenrecht. Auswirkungen Postulat Reymond Effets de la loi sur le droit foncier rural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10 Séance Seduta Geschäftsnummer 95.3283 Numéro d'objet Numero dell'oggetto Datum 03.10.1995 - 08:00 Date Data Seite 982-982 Page Pagina Ref. No 20 026 372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