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95.3265 vom 6. Oktober 1995</w:t>
      </w:r>
    </w:p>
    <w:p>
      <w:r>
        <w:t>Bundesverwaltung, 1995-10-06, DE</w:t>
      </w:r>
    </w:p>
    <w:p>
      <w:r>
        <w:rPr>
          <w:b/>
        </w:rPr>
        <w:t xml:space="preserve">Quelle: </w:t>
      </w:r>
      <w:r>
        <w:t>https://mcp.opencaselaw.ch/entscheid/ch_vb_95.3265</w:t>
      </w:r>
    </w:p>
    <w:p>
      <w:r>
        <w:t>FR: CH_VB 95.3265 du 6 octobre 1995</w:t>
      </w:r>
    </w:p>
    <w:p>
      <w:r>
        <w:t>IT: CH_VB 95.3265 del 6 ottobre 1995</w:t>
      </w:r>
    </w:p>
    <w:p>
      <w:pPr>
        <w:pStyle w:val="Heading2"/>
      </w:pPr>
      <w:r>
        <w:t>Volltext</w:t>
      </w:r>
    </w:p>
    <w:p>
      <w:r>
        <w:t>6. Oktober 1995 N 2217 Interpellation Jeanprêtre Liberalisierung ohne weiteres auf die obligatorische Unfall- versicherung nach UVG zu übertragen. Wir weisen jedoch darauf hin, dass seit Einführung der Mehrfachträgerschaft durch das UVG im Jahre 1984 eine gewisse Öffnung dieses Sozialversicherungszweiges bereits Realität geworden ist. Ausfluss der sich daraus ergebenden Konkurrenzsituation ist nicht zuletzt die 1995 erfolgte Preisgabe der Einheitsprämie und die Einführung von vier Risikogemeinschaften in der Nichtberufsunfallversicherung. Ziel dieses neuen Prämien- modells, das vor allem in Gewerbekreisen auf Widerstand stösst, ist die bessere Berücksichtigung des Verursacher- prinzips. Dazu kommt, dass die vom Interpellanten in Frage gestellte Ordnung vor allem für Branchen mit überdurch- schnittlichem Unfallrisiko durchaus Vorteile haben kann. Im Unterschied zu den Versicherern nach Artikel 68 UVG hat die Suva einen Versichertenbestand, der nicht durch Kündigung der Versicherung abnehmen kann. In diesem Sinne kommt der Suva eine gewisse Perennität zu, die Auswirkungen auf die erforderlichen Rückstellungen hat. Es bleibt nun noch die Frage zu beantworten, ob gestützt auf Artikel 66 Absatz 3 UVG neue Berufsverbandsversicherun- gen zugelassen werden könnten. Die Formulierung von Artikel 66 Absatz 3 UVG deutet darauf hin, dass die Lei- stungsfähigkeit und der Bestand der bei Inkrafttreten des UVG bestehenden Unfallversicherungseinrichtungen von Berufsverbänden erhalten bleiben. Der Gesetzgeber hatte dabei vor allem an die Unfallversicherung der Metzger ge- dacht. Sicher nicht zulässig ist die Anerkennung von Ver- bandslösungen durch den Bundesrat, die den in Artikel 66 Absatz 1 UVG umschriebenen Tätigkeitsbereich der Suva aushöhlen würden. Hierzu wäre vielmehr eine Änderung des UVG erforderlich. Falls Betriebe, die nach Artikel 66 Absatz 1 UVG bei der Suva versichert sind, eine Änderung der Zutei- lung fordern würden, müsste nach dem in Artikel 76 UVG be- schriebenen Verfahren vorgegangen und das Gesetz geän- dert werden. Erklärung des Interpellanten: nicht befriedigt Déclaration de l'interpellateur: non satisfait #ST# 95.3265 Interpellation Zisyadis Bundeshilfe. Ferien für Schwerbehinderte Vacances des handicapés dépendants. Aide fédérale Wortlaut der Interpellation vom 14. Juni 1995 Ich stelle dem Bundesrat folgende Fragen: 1. Beabsichtigt der Bund, künftig nur noch für erwerbsfähige Behinderte solche Finanzhilfen auszurichten? 2. Sind die Auswirkungen, welche die beabsichtigte Ände- rung der Praxis zur Folge hat, geprüft worden? 3. Ist der Bundesrat nicht mehr der Meinung, dass die betrof- fenen Familien einen Anspruch auf solche Ferien für ihre be- hinderten Angehörigen haben? Texte de l'interpellation du 14 juin 1995 Je désire poser les questions suivantes au Conseil fédéral: 1. Y a-t-il un changement d'intention fédéral, avec une vo- lonté de n'octroyer des aides qu'aux personnes productives? 2. Les conséquences possibles de cette décision ont-elles été évaluées? 3. Les vacances des handicapés dépendants ne sont-elles plus considérées comme un droit pour ces familles? Mitunterzeichner - Cosignataires: de Dardel (1) Schriftliche Begründung - Développement par écrit L'Office fédéral des assurances sociales (Ofas) subventionne les organisateurs de séjours de vacances en Suisse pour des personnes handicapées dépendantes. Ce subventionnement semble menacé aujourd'hui. Les conséquences seraient la suppression de colonies de vacances, de week-ends, de loi- sirs et d'activités culturelles destinées aux enfants ou aux adultes handicapés nécessitant un accompagnement. Schriftliche Stellungnahme des Bundesrates vom 13. September 1995 Rapport écrit du Conseil fédéral du 13 septembre 1995 Selon l'article 74 alinéa 1er lettre c LAI, l'assurance peut al- louer aux associations centrales de l'aide privée aux invali- des des subventions pour l'organisation de cours spéciaux à l'intention des personnes handicapées, destinés à favoriser et développer leur habileté. Depuis quelques années, on constate une augmentation des cours à caractère de «camps de vacances», ce qui a amené l'Ofas à se questionner sur le bien-fondé des prestations de l'Ai à ces cours. La DOK (Con- férence des organisations faîtières de l'aide privée aux han- dicapés) a été invitée à donner son avis sur la question. Elle a remis un rapport à l'Ofas. Aucun changement n'est toute- fois prévu à brève échéance. Mais la question sera examinée lors de la révision de la circulaire sur les subventions aux or- ganisations de l'aide privée aux invalides. Réponses aux questions posées: 1. Toutes les personnes handicapées peuvent participer aux cours organisés à leur intention, indépendamment de leur degré d'invalidité. 2. Les conséquences éventuelles seront évaluées lors de la révision de la circulaire sur les subventions aux organisations de l'aide privée aux invalides. 3. Lorsque des séjours de vacances pour personnes handi- capées englobent des activités destinées à favoriser et déve- lopper l'habilité de celles-ci, le droit aux prestations est accordé aux associations de l'aide privée aux invalides qui les organisent (et non aux familles ou aux handicapés eux- mêmes, puisqu'il s'agit de prestations collectives). Prendre en considération des camps de vacances en tant que tels im- pliquerait une modification de la loi. Erklärung des Interpellanten: teilweise befriedigt Déclaration de l'interpellateur: partiellement satisfait #ST# 95.3275 Interpellation Jeanprêtre Europäisches Naturschutzjahr und Ratifikation der Alpenkonvention Année européenne de la nature. Ratification de la Convention des Alpes Wortlaut der Interpellation vom 19. Juni 1995 Der Europarat hat das Jahr 1995 zum europäischen «Natur- schutzjahr» erklärt. Wie zahlreiche andere Länder beteiligt sich auch die Schweiz mit Veranstaltungen auf nationaler, kantonaler und kommunaler Ebene am Naturschutzjahr. Zu deren Durchführung sind Kredite gesprochen worden, und am 29. und 30. August soll in Bern gar eine «Sondersession» zum Thema stattfinden. Aber der Akt, der im engsten Zusammenhang mit dem Natur- und Umweltschutzgedanken steht - die Ratifikation der Al- penkonvention -, ist noch nicht vollzogen, obwohl der Verfas- sungsauftrag (Art. 36sexies), das öffentliche Interesse und unsere Verpflichtungen gegenüber dem Ausland dies eigent- lich gebieten würden.</w:t>
      </w:r>
    </w:p>
    <w:p>
      <w:r>
        <w:t>Schweizerisches Bundesarchiv, Digitale Amtsdruckschriften Archives fédérales suisses, Publications officielles numérisées Archivio federale svizzero, Pubblicazioni ufficiali digitali Interpellation Zisyadis Bundeshilfe. Ferien für Schwerbehinderte Interpellation Zisyadis Vacances des handicapés dépendants. Aide fédérale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95.3265 Numéro d'objet Numero dell'oggetto Datum 06.10.1995 - 08:00 Date Data Seite 2217-2217 Page Pagina Ref. No 20 026 203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