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95.063 vom 2. Oktober 1995</w:t>
      </w:r>
    </w:p>
    <w:p>
      <w:r>
        <w:t>Bundesverwaltung, 1995-10-02, DE</w:t>
      </w:r>
    </w:p>
    <w:p>
      <w:r>
        <w:rPr>
          <w:b/>
        </w:rPr>
        <w:t xml:space="preserve">Quelle: </w:t>
      </w:r>
      <w:r>
        <w:t>https://mcp.opencaselaw.ch/entscheid/ch_vb_95.063</w:t>
      </w:r>
    </w:p>
    <w:p>
      <w:r>
        <w:t>FR: CH_VB 95.063 du 2 octobre 1995</w:t>
      </w:r>
    </w:p>
    <w:p>
      <w:r>
        <w:t>IT: CH_VB 95.063 del 2 ottobre 1995</w:t>
      </w:r>
    </w:p>
    <w:p>
      <w:pPr>
        <w:pStyle w:val="Heading2"/>
      </w:pPr>
      <w:r>
        <w:t>Erwägungen</w:t>
      </w:r>
    </w:p>
    <w:p>
      <w:r>
        <w:rPr>
          <w:b/>
        </w:rPr>
        <w:t>E. 2</w:t>
      </w:r>
    </w:p>
    <w:p>
      <w:r>
        <w:t>Insbesondere seit dem Fall der Berliner Mauer und dem Entstehen von neuen Staaten in Mittel- und Osteuropa sind die Bemühungen zur Unterstützung des Demokratisierungs- prozesses auf verschiedensten Ebenen verstärkt worden. Zu erwähnen sind etwa das vom Europarat gegründete Institut für Demokratie, das auch von der Schweiz finanziell unter- stützt wird, die Bemühungen der schweizerischen Hochschu- len (Institut für Föderalismus an der Universität Freiburg) so- wie die diversen Programme der Interparlamentarischen Union (IPU). Aber auch zahlreiche private Organisationen und Personen nehmen sich der Aufgabe an und vermitteln «Demokratie-Know-how» sowohl vor Ort als auch mit ent- sprechenden Seminaren und Tagungen in der Schweiz. Mitglieder der Bundesversammlung und die Parlamentsdien- ste haben zwar nicht - wie mit dem Vorstoss verlangt - eigene Ausbildungs- und Besuchsprogramme ausgearbeitet, beteiligen sich aber in vielfältiger Weise an der Vermittlung von Kenntnissen über Organisation und Ablauf der Parla- mentsarbeit in der Schweiz. In der vom Postulat gewünschten Richtung ist Verschiede- nes unternommen worden. So war der Generalsekretär des polnischen Parlamentes während einer Woche bei den Par- lamentsdiensten zu Gast. Drei Beamte des albanischen Par- lamentes haben während drei Tagen unser Land und seine Einrichtungen besucht. Mehrere Beamte des Informatikdien- stes des rumänischen Parlamentes absolvierten einen Stage bei unserem Informatikdienst. Beamte des Sprachdienstes des südafrikanischen Parlamentes und eine Beamtin des Wirtschafts- und Sozialrates der Europäischen Union haben sich über die Funktionsweise unseres mehrsprachigen Par- lamentes informieren lassen. In diesem Jahr werden Mitar- beiter der Parlamente Rumäniens und der Komoren erwartet. Jedes Jahr empfangen wir eine Gruppe von Parlamentsbe- amten aus Entwicklungsländern, die bei der Interparlamenta- rischen Union in Genf zu Gast sind, während eines Tages in Bern, um sie über die schweizerischen Institutionen und die Funktionsweise unseres Parlamentes zu unterrichten. Die Bundesversammlung unterstützt über das Programm Pardoc (Parlement-documentation) der Internationalen Ver- sammlung der Parlamentarier französischer Sprache die An- strengungen der afrikanischen Parlamente, sich mit Doku- mentationseinrichtungen zu versehen.</w:t>
      </w:r>
    </w:p>
    <w:p>
      <w:r>
        <w:rPr>
          <w:b/>
        </w:rPr>
        <w:t>E. 3</w:t>
      </w:r>
    </w:p>
    <w:p>
      <w:r>
        <w:t>Si les allégations du député Ziegler devaient se révéler fausses, le Bureau est prié de faire en sorte que le député Ziegler présente des excuses, de déclarer au Conseil et au public que le député Ziegler a menti, et d'en informer la chaîne 'Süddeutsches Fernsehen' sous une forme appro- priée afin qu'elle puisse en faire part à ses téléspectateurs.» II. Le 19 mars 1990, et contre l'avis du Bureau, le Conseil na- tional a transmis cette motion. Le Bureau, qui avait rappelé à l'époque «qu'il n'existe pas de bases juridiques autorisant une telle enquête et que lui-même ne dispose pas de la com- pétence de vérifier la véracité des déclarations de députés, que cela n'est pas non plus sa fonction, d'autant que la liberté d'expression est garantie», n'en avait pas moins effectué une recherche qui lui a permis de constater qu'il n'y avait pas plus de 4,5 pour cent (et non 70 pour cent) des députés à siéger au sein du conseil d'administration de grandes banques (BO 1990 N 508). III. Six ans se sont écoulés depuis le dépôt de cette motion et son examen par le Conseil. Même si M. Ziegler Jean n'a pas apporté de preuves pour étayer ses affirmations (déclarant simplement qu'il ne se rappelait plus exactement les propos qu'il avait tenus) et si M. Stucky n'a pas retiré sa motion, le Bureau ne voit pas qu'il lui appartienne d'entreprendre des démarches supplémentaires. D. Postulat 89.609. Interventions parlementaires présentées par écrit 1. Cette motion a été transmise par le Conseil national le 23 mars 1990 sous la forme d'un postulat, conformément à la recommandation du Bureau. Son texte était le suivant: «Le Bureau du Conseil national est chargé de soumettre au Parlement un projet de modification du Règlement du Con- seil national spécifiant que les députés ne pourront plus pré- senter leurs interventions uniquement par oral, mais pourront le faire également par écrit. De telles interventions seront dis- tribuées au Conseil et reprises dans le Bulletin officiel.» Cette proposition visait à raccourcir la durée des débats par- lementaires et à assurer par là un désengorgement de l'insti- tution. 2. Si un allégement des travaux parlementaires est en soi souhaitable, comme le Bureau l'avait d'ailleurs déjà indiqué à l'époque, le recours à la procédure écrite pour les discours comporte également quelques inconvénients: ainsi, d'une part, elle serait contraire au principe de la publicité des dé- bats (d'autant qu'ils font l'objet de retransmissions ou de comptes rendus dans les médias), et d'autre part, son man- que de transparence se traduirait par l'impossibilité pour les députés et le Conseil fédéral de compléter ou de rectifier au besoin certaines affirmations. Par ailleurs, la situation est différente s'agissant des interven- tions et des rapports émanant des commissions, dont les tex- tes (pour les interventions: texte proprement dit, développe- ment, réponse du Conseil fédéral), qui constituent la base des débats du Conseil (et, pour partie, des groupes, pour ce qui est des rapports des commissions), sont en règle géné- rale disponibles en français et en allemand avant que ne dé- bute l'examen de l'objet concerné. Or, et c'est un troisième argument, cette publication écrite en deux langues impli- quant déjà pour l'administration un volume de travail non né- gligeable, celui-ci atteindrait des proportions pour le moins excessives (délais, traductions, etc.) si elle devait s'étendre aux commentaires. Depuis que le postulat a été transmis au Conseil fédéral, un certain nombre de mesures ont été prises dans le cadre de la réforme du Parlement pour alléger les débats. Ainsi, le clas- sement en plusieurs catégories des affaires (cf. art. 68 RCN, introduit sur décision du 4 octobre 1991 ) a permis de raccour- cir notablement la durée de ces débats, et d'accroître l'effica- cité du travail parlementaire sans allongement des sessions. Citons également la réduction du temps de parole accordé aux orateurs s'exprimant à titre personnel et aux porte-parole des groupes (par révision du règlement en date du 3 février 1995). E. Postulat 90.629. Bulletin officiel. Publications des rapports écrits 1. Le 5 octobre 1990, et sur proposition du Bureau, le Conseil national a transmis le postulat suivant, déposé par M. Ducret: «II est d'usage que les rapports écrits, notamment ceux de la Commission des pétitions, ne soient publiés que dans la lan- gue du président de la commission saisie du projet en délibé- ration. Comme il est fréquent que dans de telles situations, les rapporteurs renoncent à s'exprimer et à commenter un tel rapport, il peut en résulter de fâcheux inconvénients pour le lecteur, surtout lorsque l'objet débattu pose de délicates questions juridiques. C'est pourquoi il est demandé au Bureau de réparer cette in- congruité et de faire en sorte qu'à l'avenir les rapports écrits des commissions soient publiés dans le Bulletin officiel sous la forme où ils sont remis aux députés, c'est-à-dire aussi bien en français qu'en allemand, voire le cas échéant en italien, ceci conformément à l'obligation qui en est faite par l'article 59 nouveau du Règlement du Conseil national et pour respecter l'équilibre linguistique nécessaire en la ma- tière.» 2. D'accord avec M. Ducret pour affirmer la nécessité de res- pecter le plurilinguisme, le Bureau et le Service du Bulletin of- ficiel de l'Assemblée fédérale rappellent que, depuis le dépôt de cette intervention, la procédure écrite est devenue la règle pour un grand nombre d'objets, en raison de la réorganisa- tion du système des commissions et de l'introduction du sys- tème de classement des affaires en catégories. Ainsi, tous les rapports écrits des commissions sont publiés au Bulletin officiel en français comme en allemand. Antrag des Büros Das Büro beantragt: - die Postulate Ad 86.229 und 86.495 abzuschreiben; - das Postulat Ad 89.075 als erfüllt abzuschreiben; - die Motion 89.523 sowie das Postulat 89.609 abzuschrei- ben; - das Postulat 90.629 als erfüllt abzuschreiben.</w:t>
      </w:r>
    </w:p>
    <w:p>
      <w:r>
        <w:t>2. Oktober 1995 2019 Parlamentarische Initiative (Spoerry) Proposition du Bureau Le Bureau propose: - de classer les postulats Ad 86.229 et 86.495; - de classer le postulat Ad 89.075, les objectifs visés ayant été atteints; - de classer la motion 89.523 ainsi que le postulat 89.609; - de classer le postulat 90.629, les objectifs visés ayant été atteints. Angenommen - Adopté #ST# 94.404 Parlamentarische Initiative (Spoerry) Genehmigungsvorbehalt bei wichtigen Verordnungen Initiative parlementaire (Spoerry) Ordonnances du Conseil fédéral. Approbation des Conseils Kategorie IV, Art. 68 GRN - Catégorie IV, art. 68 RCN Wortlaut der Initiative vom 16. März 1994 Gestützt auf Artikel 21 bis des Geschäftsverkehrsgesetzes unterbreite ich in der Form einer allgemeinen Anregung die folgende parlamentarische Initiative: Der Abschnitt II des Geschäftsverkehrsgesetzes «Form der Erlasse der Bundesversammlung» ist durch eine Bestim- mung zu ergänzen, wonach mindestens die gesetzesvertre- tenden Verordnungen des Bundesrates der Genehmigung durch die eidgenössischen Räte bedürfen. Zum zweiten soll der Gesetzgeber ermächtigt werden, von Fall zu Fall bei der entsprechenden Gesetzgebung einen Ge- nehmigungsvorbehalt der eidgenössischen Räte für be- stimmte Verordnungen verlangen zu können. Texte de l'initiative du 16 mars 1994 Me fondant sur l'article 21 bis de la loi sur les rapports entre les Conseils, je dépose l'initiative parlementaire suivante ré- digée en termes généraux: Le chiffre II de la loi sur les rapports entre les Conseils relatif à la forme des actes législatifs édictés par l'Assemblée fédé- rale doit être complété par une disposition soumettant les or- donnances de substitution du Conseil fédéral tout au moins à l'approbation des Chambres fédérales. En outre, dans certains cas, le législateur devrait être auto- risé à réserver, dans la législation, l'approbation des Cham- bres fédérales pour des ordonnances déterminées. Mitunterzeichner - Cosignataires: Keine - Aucun Heberlein Trix (R, ZH) unterbreitet im Namen der Staatspo- litischen Kommission (SPK) den folgenden schriftlichen Be- richt: Wir unterbreiten Ihnen gemäss Artikel 21ter des Geschäfts- verkehrsgesetzes den Bericht der vorprüfenden Kommission über die von Frau Spoerry am 16. März 1994 eingereichte parlamentarische Initiative. Die Initiative verlangt, dass mindestens die gesetzesvertre- tenden Verordnungen des Bundesrates der Genehmigung durch die eidgenössischen Räte bedürfen. Zum zweiten soll der Gesetzgeber ermächtigt werden, von Fall zu Fall bei der entsprechenden Gesetzgebung einen Genehmigungsvorbe- halt der eidgenössischen Räte für bestimmte Verordnungen verlangen zu können. Die Kommission hat am 20. Oktober 1994 die Initiantin ange- hört. Begründung der Initiantin Auf Gesetzesstufe werden jene Fragen geregelt, die politisch umstritten sind. Deren Lösung wird durch Mehrheitsent- scheide gefunden, die in der Regel referendumsfähig sind. Notwendige Ausführungsbestimmungen werden dabei auf die Verordnungsstufe verwiesen. Die Verordnungen stehen gemäss Bundesrecht in der abschliessenden Kompetenz des Bundesrates. Sie unterliegen in aller Regel keinem Ge- nehmigungsvorbehalt durch die eidgenössischen Räte. Dies ist ohne Zweifel richtig und zur Entlastung des Parla- mentes notwendig, solange es um mehr technische Detailbe- stimmungen geht, die politisch wenig Brisanz haben. Immer wieder zeigt es sich aber, dass auf Verordnungsstufe auch Fragen zu regeln sind, die einen beachtlichen politi- schen Ermessensspielraum zulassen, der eigentlich vom Parlament zu begutachten wäre. Das schlagende Beispiel ist derzeit die Mehrwertsteuer-Ver- ordnung, welche den geänderten Verfassungsartikel zur neuen Finanzordnung ausführen soll. Es handelt sich bei die- ser Verordnung klar und verfassungsmässig definiert um eine gesetzesvertretende Verordnung. Sie steht als Über- gangslösung so lange in Kraft, bis das Parlament ein entspre- chendes Ausführungsgesetz verabschiedet hat. Es liegt auf der Hand, dass in dieser Verordnung Probleme von Gesetzesrang politisch entschieden werden müssen. Die zahlreichen öffentlichen Verlautbarungen, die vielen parla- mentarischen Vorstösse, welche die Ausgestaltung dieser wichtigen Verordnung durch den Bundesrat beeinflussen wollen, legen von der Bedeutung und der politischen Brisanz der bundesrätlichen Entscheide Zeugnis ab. Ein Genehmigungsvorbehalt dieser gesetzesvertretenden Verordnung durch die eidgenössischen Räte wäre daher dringend notwendig. Dabei dürfte selbstverständlich in den Räten nicht eine Detailberatung über die einzelnen Bestim- mungen stattfinden, wie das bei der ordentlichen Gesetzge- bung der Fall ist. Aber der Rat sollte entscheiden können, ob eine vom Bundesrat ausgearbeitete gesetzesvertretende Verordnung in ihrer Gesamtheit den Vorstellungen der Parla- mentsmehrheit entspricht oder nicht. Wenn nicht, sollte eine mit konkreten Änderungswünschen verbundene Rückwei- sung an den Bundesrat beschlossen werden können. Die Mehrwertsteuer-Verordnung ist zurzeit das anschaulich- ste Beispiel für das Anliegen der parlamentarischen Initiative, aber ihre Bedeutung ist eine allgemeine und geht über den konkreten Fall hinaus. Für die Mehrwertsteuer-Verordnung kann sie ohnehin nicht mehr wirksam werden. In der Zukunft ist es aber aufgrund der gegenwärtigen Erfahrungen notwen- dig, dass das Parlament zumindest immer dann die Gelegen- heit zu einer politischen Gesamtbeurteilung einer bundesrät- lichen Verordnung bekommt, wenn diese eine gesetzesver- tretende Funktion hat. Als Beispiele aus der jüngeren Ver- gangenheit sind zu nennen: Spielbankenverbot, Kriegsma- terialausfuhr, Schwerverkehrsabgabe und Autobahnvignette. Auch zum 1. August als Feiertag wird eine Verordnung fol- gen. In allen diesen Fällen überträgt die Verfassung die Ver- ordnungskompetenz dem Bundesrat, bis der Gesetzgeber tätig wird. Als zweiter Schritt ist zu überlegen, ob nicht der Gesetzgeber bei der Ausarbeitung der entsprechenden Erlasse selbst be- stimmen soll, welche Verordnungen er als politische Instanz nochmals überprüfen will und welche er in die abschlies- sende Kompetenz des Bundesrates zu legen gewillt ist. Auf kantonalzürcherischer Ebene beispielsweise werden solche Regelungen bereits mit Erfolg praktiziert. Wenn das Gesetz ausführt «Der Regierungsrat regelt....», so liegt die Verord- nungskompetenz abschliessend bei der Regierung. Sagt das Gesetz «Die Verordnung regelt....», so muss die entspre- chende Verordnung in ihrer Gesamtheit dem zuständigen Parlament zur Zustimmung oder zur Rückweisung unterbrei- tet werden. Solange der Gesetzgeber von seiner Kontrollmöglichkeit be- stimmter Verordnungen zurückhaltend Gebrauch macht, hält sich die Mehrbelastung des Parlamentes in Grenzen. Der grosse Vorteil einer solchen Regelung auch auf Bundes- ebene wäre eine demokratisch bessere Verankerung von</w:t>
      </w:r>
    </w:p>
    <w:p>
      <w:r>
        <w:t>Schweizerisches Bundesarchiv, Digitale Amtsdruckschriften Archives fédérales suisses, Publications officielles numérisées Archivio federale svizzero, Pubblicazioni ufficiali digitali Vorstösse aus dem Aufgabenbereich des Büros. Abschreibung Interventions de la compétence du Bureau. Classement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09 Séance Seduta Geschäftsnummer 95.063 Numéro d'objet Numero dell'oggetto Datum 02.10.1995 - 14:30 Date Data Seite 2014-2019 Page Pagina Ref. No 20 026 107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