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94.433 vom 12. Juni 1995</w:t>
      </w:r>
    </w:p>
    <w:p>
      <w:r>
        <w:t>Bundesverwaltung, 1995-06-12, DE</w:t>
      </w:r>
    </w:p>
    <w:p>
      <w:r>
        <w:rPr>
          <w:b/>
        </w:rPr>
        <w:t xml:space="preserve">Quelle: </w:t>
      </w:r>
      <w:r>
        <w:t>https://mcp.opencaselaw.ch/entscheid/ch_vb_94.433</w:t>
      </w:r>
    </w:p>
    <w:p>
      <w:r>
        <w:t>FR: CH_VB 94.433 du 12 juin 1995</w:t>
      </w:r>
    </w:p>
    <w:p>
      <w:r>
        <w:t>IT: CH_VB 94.433 del 12 giugno 1995</w:t>
      </w:r>
    </w:p>
    <w:p>
      <w:pPr>
        <w:pStyle w:val="Heading2"/>
      </w:pPr>
      <w:r>
        <w:t>Erwägungen</w:t>
      </w:r>
    </w:p>
    <w:p>
      <w:r>
        <w:rPr>
          <w:b/>
        </w:rPr>
        <w:t>E. 12</w:t>
      </w:r>
    </w:p>
    <w:p>
      <w:r>
        <w:t>juin 1995 angehören, nicht aber Einschränkungen hinsichtlich der Organisation der Kirche. Einen Absatz weiter oben schreibt der Bundesrat, wenn da- von ausgegangen würde, dass Artikel 50 Absatz 4 der Bun- desverfassung im Zusammenhang mit diesem internationa- len Vertrag diskriminierend sei, so wäre in erster Linie die Or- ganisation der Kirche betroffen und nicht eine Rasse. Das verstehe sich von selbst. Ich möchte das einfach gesagt ha- ben, damit nicht der Eindruck bestehenbleibt, der Bundesrat habe generell zum Ausdruck gebracht, Artikel 50 Absatz 4 sei nicht diskriminierend. Ich will das nicht weiterverfolgen. Bedeutsamer ist der Einwand der Herren Coutau und Petit- pierre hinsichtlich der Rechtsnatur des Verhältnisses zwi- schen Artikel 50 Absatz 4 und Artikel 8, Stichwort Kommen- tar Häfelin. Der Initiant hat bereits das Notwendige dazu gesagt. Es könnte in diesem Zusammenhang auch noch darauf verwie- sen werden, dass nicht ausgemacht ist, was zuerst war: das Ei oder das Huhn. Die Genehmigung der Errichtung von Bis- tümern durch den Bund «erfolgte bisher stets aufgrund von Staatsverträgen mit dem Apostolischen Stuhl» (Häfelin). Nun kann unter Umständen gesagt werden, der Staatsvertrag sei gerade die Genehmigungsform, die der Bund anwende, um hier die Hand im Spiel zu haben, denn im Kommentar Häfelin wird selbst auch darauf hingewiesen: «Kirchenrechtlich er- folgt die Errichtung oder gebietsmässige Veränderung eines Bistums durch Verfügung des Apostolischen Stuhles.» Mit anderen Worten: Der Staat könnte sich gegenüber einer sol- chen vatikanischen Verfügung desinteressiert verhalten, es ist seine Sache, ob er sie überhaupt zur Kenntnis nehmen will oder nicht. Das wäre die eine Variante. Die andere Vari- ante ist: Der Staat ist nicht desinteressiert und sagt, was er von dieser Bistumserrichtung hält. Eine nützliche Form dafür ist das Konkordat; die Vereinbarung mit dem Apostolischen Stuhl ist die instrumentale Form der Genehmigung. Folgt man dieser Theorie, so kommt Artikel 8 der Bundesverfas- sung nach einer Aufhebung von Artikel 50 Absatz 4 über- haupt nicht ins Spiel, denn dann interessiert sich der Bund nicht mehr dafür, was hier passiert. Ich komme zum dritten Element juristischer Art, zum Votum von Herrn Schiesser. Es bestehen nach meiner Lesart keine offenen Fragen. Der Initiant hat darauf hingewiesen. Das Kultusrecht ist in dieser Hinsicht, wenn Artikel 50 Absatz 4 aufgehoben wird, Sache der Kantone. Seitens des Kommis- sionspräsidenten muss man das noch klar sagen, damit man nicht später sagen kann, wir hätten uns leichtfertig über die Sache hinweggesetzt. Ich möchte zum Abschluss für die Zurückhaltung und die ge- genseitige Rücksichtnahme in der Debatte zu dieser Frage danken. Abstimmung - Vote Für den Antrag der Kommission (Folge geben) 18 Stimmen Für den Antrag Coutau (keine Folge geben)</w:t>
      </w:r>
    </w:p>
    <w:p>
      <w:r>
        <w:rPr>
          <w:b/>
        </w:rPr>
        <w:t>E. 16</w:t>
      </w:r>
    </w:p>
    <w:p>
      <w:r>
        <w:t>Stimmen Schluss der Sitzung um 20.00 Uhr La séance est levée à 20 h 00</w:t>
      </w:r>
    </w:p>
    <w:p>
      <w:r>
        <w:t>Schweizerisches Bundesarchiv, Digitale Amtsdruckschriften Archives fédérales suisses, Publications officielles numérisées Archivio federale svizzero, Pubblicazioni ufficiali digitali Parlamentarische Initiative (Huber) Aufhebung von Artikel 50 Absatz 4 BV. Genehmigungspflicht für die Errichtung neuer Bistümer Initiative parlementaire (Huber) Abrogation de l'article 50 alinéa 4 est. Approbation nécessaire pour ériger de nouveaux évêchés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05 Séance Seduta Geschäftsnummer 94.433 Numéro d'objet Numero dell'oggetto Datum 12.06.1995 - 17:15 Date Data Seite 558-564 Page Pagina Ref. No</w:t>
      </w:r>
    </w:p>
    <w:p>
      <w:r>
        <w:rPr>
          <w:b/>
        </w:rPr>
        <w:t>E. 20</w:t>
      </w:r>
    </w:p>
    <w:p>
      <w:r>
        <w:t>025 969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