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94.3542 vom 19. März 1993</w:t>
      </w:r>
    </w:p>
    <w:p>
      <w:r>
        <w:t>Bundesverwaltung, 1993-03-19, DE</w:t>
      </w:r>
    </w:p>
    <w:p>
      <w:r>
        <w:rPr>
          <w:b/>
        </w:rPr>
        <w:t xml:space="preserve">Quelle: </w:t>
      </w:r>
      <w:r>
        <w:t>https://mcp.opencaselaw.ch/entscheid/ch_vb_94.3542</w:t>
      </w:r>
    </w:p>
    <w:p>
      <w:r>
        <w:t>FR: CH_VB 94.3542 du 19 mars 1993</w:t>
      </w:r>
    </w:p>
    <w:p>
      <w:r>
        <w:t>IT: CH_VB 94.3542 del 19 marzo 1993</w:t>
      </w:r>
    </w:p>
    <w:p>
      <w:pPr>
        <w:pStyle w:val="Heading2"/>
      </w:pPr>
      <w:r>
        <w:t>Erwägungen</w:t>
      </w:r>
    </w:p>
    <w:p>
      <w:r>
        <w:rPr>
          <w:b/>
        </w:rPr>
        <w:t>E. 24</w:t>
      </w:r>
    </w:p>
    <w:p>
      <w:r>
        <w:t>mars 1995 Schriftliche Stellungnahme des Bundesrates vom 22. Februar 1995 Risposta scritta del Consiglio federale del 22 febbraio 1995 Rapport écrit du Conseil fédéral du 22 février 1995 In Svizzera, esistono all'incirca 1500 contratti collettivi di la- voro; 18 circa sono stati dichiarati di obbligatorietà generale sia dal Consiglio federale a livello federale sia da un Consiglio di Stato a livello cantonale. L'articolo 20 della legge federale del 6 ottobre 1989 sul collocamento e il personale a prestito (LC) riguarda unicamente quest'ultimo e mira a garantire ai la- voratori temporanei, in materia di salario e di durata del lavoro, l'applicazione delle stesse norme applicabili ai lavoratori fissi. In occasione dei lavori parlamentari relativi alla LC si era già sottolineato che il campo d'applicazione dell'articolo 20 do- veva essere relativamente ristretto per questioni di fattibilità e d'esecuzione, come pure per rispondere alla natura specifica del lavoro temporaneo. Non vi è dubbio infatti che il lavoro temporaneo risponda a determinati bisogni sul mercato del la- voro offrendo una forma e possibilità di lavoro corrispondenti ai desideri e alle esigenze di alcuni lavoratori. In tale contesto e malgrado la particolare natura del lavoro temporaneo, il Consiglio federale non può accettare che una disposizione legale tanto chiara quanto l'articolo 20 LC non sia rispettata o possa essere raggirata in maniera fraudolenta Cosciente di alcune irregolarità, senza dubbio ingigantite da un periodo di bassa congiuntura, l'Ufficio federale dell'indu- stria, delle arti e mestieri e del lavoro ha adottato una prima mi- sura corrispondente ai desideri dell'autore della mozione, os- sia la decisione di pubblicare una circolare dettagliata relativa all'applicazione dell'articolo 20 LC, all'attenzione delle auto- rità cantonali e delle agenzie di lavoro temporaneo. Tale circo- lare si trova attualmente in fase di elaborazione e sarà disponi- bile nel giro di poco tempo. Il Consiglio federale intende così facilitare e accelerare l'appli- cazione delle misure di controllo necessarie e delle sanzioni previste dalla LC in caso d'infrazione, cioè la revoca dell'auto- rizzazione e/o le sanzioni penali previste. Per quanto riguarda le altre misure raccomandate dall'autore della mozione allo scopo di garantire ai lavoratori temporanei una migliore protezione, segnatamente riguardo alle assicura- zioni sociali, le disposizioni legali vigenti permettono di inter- venire con efficacia per eliminare gli abusi. Si tratta nondimeno di intensificare i controlli in stretta collaborazione con le com- petenti autorità esecutive e di adottare le misure atte ad evitare gli abusi nel lavoro temporaneo. L'indennizzo delle spese da parte del datore di lavoro, nella fattispecie del prestatore, costi- tuisce per esempio l'oggetto di disposizioni precise pubbli- cate dall'lnsai e soggiace al suo controllo. Un accurato esame dei casi speciali accompagnato dalla collaborazione con gli al- tri rami interessati delle assicurazioni sociali, in particolare l'AVS, l'assicurazione contro la perdita di guadagno e il se- condo pilastro sono intesi a eliminare gli abusi manifesti senza recare eccessivo pregiudizio agli elementi specifici propri del lavoro temporaneo. Una tale prassi è già in vigore; si tratta quindi d'intensificare questa collaborazione e le attività di con- trollo in loco. Lo stesso vale soprattutto per i risparmi di natura fiscale realiz- zati tramite il lavoro temporaneo, in particolare dal prestatore. Le misure che verranno adottate in materia di protezione so- ciale afavore dei lavoratori temporanei si ripercuoteranno auto- maticamente sul computo degli elementi imponibili delle parti in causa II Consiglio federale non reputa necessario adottare misure particolari, diverse daquellegià esistenti, onde risolvere i problemi evocati dall'autore della mozione, masi dichiara per contro disposto ad operare nel senso summenzionato. Schriftliche Erklärung des Bundesrates Dichiarazione scritta del Consiglio federale Déclaration écrite du Conseil fédéral II Consiglio federale propone di trasformare la mozione in po- stulato. Überwiesen als Postulat-Transmis comme postulat #ST# 94.3516 Motion der grünen Fraktion Welthandelsregeln und nachhaltige Entwicklung Motion du groupe écologiste Commerce mondial et développement durable Wortlaut der Motion vom 7. Dezember 1994 Der Bundesrat wird beauftragt, sich in zukünftigen Verhand- lungen im Rahmen der WTO für Welthandelsregeln einzuset- zen, die dem Prinzip der nachhaltigen Entwicklung gerecht werden (keine Liberalisierung ohne Internalisierung). Texte de la motion du 7 décembre 1994 Le Conseil fédéral est chargé, lors des négociations qui seront menées sous l'égide de l'OMC, d'oeuvrer pour que les règles du commerce mondial soient conformes au principe du déve- loppement durable (pas de libéralisation sans internalisation). Sprecherin - Porte-parole: Bar Schriftliche Begründung Die Urheber verzichten auf eine Begründung und wünschen eine schriftliche Antwort Développement par écrit Les auteurs renoncent au développement et demandent une réponse écrite. Schriftliche Stellungnahme des Bundesrates vom 22. Februar 1995 In der Botschaft zur Genehmigung der Gatt/WTO-Überein- kommen an das Parlament hat der Bundesrat explizit bekräf- tigt, dass sich die Schweiz-wie bislang im Gatt-auch im Rah- men der WTO dafür einsetzen wird, dass Umweltanliegen auf die Tagesordnung des multilateralen Handelssystems gesetzt werden. So all u. a geprüft werden, ob allfällige Anpassungen der WTO-Regeln notwendig sind, um den Umweltschutz zu verbessern, ohne jedoch protektionistischen Massnahmen Vorschub zu leisten. In diesem Sinne beabsichtigt der Bun- desrat, sich für Welthandelsregeln einzusetzen, die dem Prin- zip der nachhaltigen Entwicklung gerecht werden. Die Umset- zung der nachhaltigen Entwicklung kann u. a durch konkrete Massnahmen wie z. B. Lenkungsabgaben im Sinne der Inter- nalisierung der externen Kosten erfolgen. Der Bundesrat un- terstützt deshalb insbesondere die Bestrebungen im Rahmen des WTO-Ausschusses Handel und Umwelt, die Beziehung zwischen dem Regelwerk des multilateralen Handelssystems und der Erhebung von ökologisch begründeten Abgaben zu überprüfen. Für die Bewältigung globaler Umweltprobleme sind nament- lich multilaterale Lösungen von grosser Bedeutung, um mögli- che Spannungen zwischen Ländern - einschliesslich Nord- Süd-Gegensätze - zu vermeiden. So spielen insbesondere die multilateralen Umweltabkommen eine wichtige Rolle bei der Lösung globaler Umweltprobleme. Die Aushandlung neuer oder auch die Ergänzung bestehender multilateraler Umweltabkommen ist jedoch ein sehr anspruchsvoller und teilweise auch sehr langwieriger Prozess. Die Liberalisierung des Welthandels kann deshalb nicht von den konkreten Schrit- ten im Bereich des internationalen Umweltschutzes abhängig gemacht werden. Die Schweiz setzt sich dafür ein, dass die Rahmenbedingun- gen-d. h. die Welthandelsregeln-für die Liberalisierung des Welthandels im Sinne der Förderung der nachhaltigen Ent- wicklung die Möglichkeit bieten, effizienten nationalen Um- weltschutz ohne Gefährdung der Kompetitivität eines Landes zu gewährleisten.</w:t>
      </w:r>
    </w:p>
    <w:p>
      <w:r>
        <w:t>Schweizerisches Bundesarchiv, Digitale Amtsdruckschriften Archives fédérales suisses, Publications officielles numérisées Archivio federale svizzero, Pubblicazioni ufficiali digitali Motion Carobbio Arbeitsvermittlungsgesetz. Artikel 20 Motion Carobbio Loi sur le service de l'emploi. Article 20 Mozione Carobbio Legge sul collocamento. Articolo 20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94.3542 Numéro d'objet Numero dell'oggetto Datum 24.03.1995 - 08:00 Date Data Seite 938-940 Page Pagina Ref. No 20 025 491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