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94.3524 vom 23. Juni 1995</w:t>
      </w:r>
    </w:p>
    <w:p>
      <w:r>
        <w:t>Bundesverwaltung, 1995-06-23, DE</w:t>
      </w:r>
    </w:p>
    <w:p>
      <w:r>
        <w:rPr>
          <w:b/>
        </w:rPr>
        <w:t xml:space="preserve">Quelle: </w:t>
      </w:r>
      <w:r>
        <w:t>https://mcp.opencaselaw.ch/entscheid/ch_vb_94.3524</w:t>
      </w:r>
    </w:p>
    <w:p>
      <w:r>
        <w:t>FR: CH_VB 94.3524 du 23 juin 1995</w:t>
      </w:r>
    </w:p>
    <w:p>
      <w:r>
        <w:t>IT: CH_VB 94.3524 del 23 giugno 1995</w:t>
      </w:r>
    </w:p>
    <w:p>
      <w:pPr>
        <w:pStyle w:val="Heading2"/>
      </w:pPr>
      <w:r>
        <w:t>Erwägungen</w:t>
      </w:r>
    </w:p>
    <w:p>
      <w:r>
        <w:rPr>
          <w:b/>
        </w:rPr>
        <w:t>E. 23</w:t>
      </w:r>
    </w:p>
    <w:p>
      <w:r>
        <w:t>Juni 1995 N 1595 Motion FK-NR (94.073) et leur application par le tribunal. Conformément à l'article 105bis alinéa 3 PPF, la procédure de recours contre les ordres de détention est régie par les articles 215 à 219 PPF. L'article 219 alinéa 1er PPF ne prévoit qu'un simple échange de correspondance (recours contre le maintien de la détention et prise de position du procureur général ou du juge d'instruction dans un délai imparti), ce qui permet géné- ralement une décision rapide. En pratique cependant, la Chambre d'accusation donne toujours à la défense l'occa- sion de répliquer. Cette manière de faire est aussi à l'avan- tage de la personne arrêtée puisqu'elle renforce notablement son influence sur le résultat de la procédure. Elle a toutefois pour effet de prolonger quelque peu la procédure de recours. La loi fédérale sur la procédure pénale prescrit aujourd'hui déjà l'obligation de donner connaissance à l'inculpé, lors de son interrogatoire, du fait qui lui est imputé (art. 40 al 2 PPF). Cette règle s'applique également au mandat d'arrêt dont un exemplaire doit être remis à l'intéressé; doivent en outre y fi- gurer les dispositions pénales applicables, ainsi que la cause de l'arrestation (art. 46 al. 2 PPF). De plus, l'existence d'une forte présomption de culpabilité, ainsi que les motifs de l'ar- restation constituent l'objet de la procédure obligatoire de- vant le juge compétent (art. 47 PPF) et de l'examen, en pro- cédure de recours, du bien-fondé de l'arrestation par la Chambre d'accusation (art. 52 al. 2 PPF). Ces dispositions garantissent à l'inculpé, dès le début de l'enquête de police judiciaire et plus particulièrement encore en cas de détention préventive, son information précise quant au comportement répréhensible qui lui est fait grief. En résumé, il ressort de ce qui précède qu'au sujet des points soulevés par le motionnaire aucun besoin législatif urgent n'est en soi perceptible. Dans le cadre d'une révision ulté- rieure de la loi fédérale sur la procédure pénale, le Conseil fédéral est cependant disposé à accepter l'intervention sous forme de postulat et à la faire étudier plus en détail. Schriftliche Erklärung des Bundesrates Déclaration écrite du Conseil fédéral Le Conseil fédéral propose de transformer la motion en pos- tulat. Überwiesen als Postulat - Transmis comme postulat #ST# 95.3001 Motion FK-NR (94.073) Reingewinnausschüttung der Schweizerischen Nationalbank Motion CdF-CN (94.073) Participation au bénéfice de la Banque nationale suisse Wortlaut der Motion vom 18. Januar 1995 Der Bundesrat wird beauftragt, mit der Schweizerischen Na- tionalbank eine angemessene Erhöhung der bisherigen Reingewinnausschüttung an Bund und Kantone auszuhan- deln. Texte de la motion du 18 janvier 1995 Le Conseil fédéral est chargé de négocier avec la Banque nationale suisse une augmentation appropriée du montant actuel prélevé sur le bénéfice net de celle-ci et alloué à la Confédération et aux cantons. Schriftliche Begründung Die Urheber verzichten auf eine Begründung und wünschen eine schriftliche Antwort. Développement par écrit Les auteurs renoncent au développement et demandent une réponse écrite. Schriftliche Stellungnahme des Bundesrates vom 26. April 1995 Im Februar 1992 kamen der Bundesrat und die Schweizeri- sche Nationalbank (SNB) überein, die bisherige Praxis der Gewinnverteilung der SNB beginnend mit dem Gewinn von 1991 zu ändern. Bis zu diesem Zeitpunkt wies die SNB jähr- lich einen Reingewinn aus, der gerade die Dotierung des Re- servefonds, die Auszahlung der Dividende an die Aktionäre und die Pro-Kopf-Entschädigung an die Kantone deckte. Zu- sätzlich anfallende Reinerträge wurden hauptsächlich zur Bildung von Rückstellungen in Form von ungesicherten De- visenreserven verwendet. Bei der 1992 beschlossenen Gewinnausschüttung an den Bund und an die Kantone war der Grundsatz wegleitend, dass die SNB weiterhin die betriebs- und volkswirtschaftlich notwendigen Rückstellungen zu bilden habe. Deshalb wurde die Regel festgelegt, wonach die SNB ihre Rückstellungen bzw. ihre ungesicherten Devisenreserven im Gleichschritt mit dem durchschnittlichen Wachstum des nominalen Brutto- sozialprodukts erhöht. Die Devisenreserven der SNB stellen eine notwendige Reserve für den Krisen- und Kriegsfall dar. Sie stärken die Krisenresistenz des schweizerischen Finanz- platzes. Ferner ermöglichen sie der SNB, im Falle einer Frankenschwäche am Devisenmarkt zu intervenieren. Um die starken jährlichen Schwankungen zu glätten, wurde eine Obergrenze für die Ausschüttung von 600 Millionen Franken festgelegt. Übersteigt der ausschüttbare Überschuss diese Obergrenze, wird die Differenz den Rückstellungen zuge- schlagen und dient dem Ausgleich in Jahren mit kleineren Überschüssen oder Verlusten. Eine Erhöhung der Obergrenze der jährlichen Ausschüttung, wie sie die Motion verlangt, erachtet der Bundesrat derzeit für nicht angebracht. Folgende Gründe sprechen dafür, vor- erst die Auswirkungen der geltenden Regelung über einen längeren Zeitraum zu analysieren: - Die Gewinnausschüttung stellt eine Ausdehnung der No- tenbankgeldmenge dar. Um inflationäre Effekte zu verhin- dern, muss die SNB diese zusätzliche Liquidität kompensie- ren, zum Beispiel durch Verkäufe von Devisen und inländi- schen Aktiven. Diese Kompensationsgeschäfte engen den Handlungsspielraum der SNB stark ein. - Es ist zu beachten, dass die Überschüsse der SNB grosse Schwankungen aufweisen. Insbesondere der Dollar-Wech- selkurs übt einen nachhaltigen Einfluss auf die Überschüsse aus. Diese Tatsache hat sich im abgelaufenen Jahr eindrück- lich manifestiert, hat sich doch die markante Abwertung des Dollars stark negativ auf die erwirtschafteten Überschüsse ausgewirkt. Der Bundesrat unterstützt grundsätzlich das von der Motion anvisierte Ziel, dem Bund und den Kantonen zusätzliche Ein- nahmen zu verschaffen. Er hat bereits verschiedentlich dar- auf hingewiesen, dass die Sanierung des Bundeshaushalts ohne Mehreinnahmen innert nützlicher Frist kaum möglich sein wird. Der von der Motion aufgezeigte Weg scheint dem Bundesrat indessen derzeit nicht gangbar zu sein. Zum ei- nen können von einer höheren Gewinnausschüttung der SNB falsche Signale ausgehen, die den Sparanstrengungen der öffentlichen Hand zuwiderlaufen. Zum anderen gilt es vorerst, die Funktionstüchtigkeit und die Auswirkungen der geltenden Regelung über einen längeren Zeitraum zu beob- achten, bevor über eine allfällige Erhöhung der Reingewinn- ausschüttung diskutiert werden kann. Rapport écrit du Conseil fédéral du 26 avril 1995 En février 1992, le Conseil fédéral et la Banque nationale suisse (BNS) sont convenus de modifier la répartition du bé- néfice de la BNS en appliquant, au bénéfice de l'exercice de l'année 1991 déjà, la modification qui venait d'être décidée. Auparavant, le bénéfice net annoncé par la BNS servait uni- quement à alimenter le fonds de réserve, verser un dividende</w:t>
      </w:r>
    </w:p>
    <w:p>
      <w:r>
        <w:t>Schweizerisches Bundesarchiv, Digitale Amtsdruckschriften Archives fédérales suisses, Publications officielles numérisées Archivio federale svizzero, Pubblicazioni ufficiali digitali Motion de Dardel Polizeiliche Ermittlungen. Revision des Bundesstrafrechts Motion de Dardel Phase policière dans la procédure pénale fédérale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94.3524 Numéro d'objet Numero dell'oggetto Datum 23.06.1995 - 08:00 Date Data Seite 1593-1595 Page Pagina Ref. No 20 025 804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