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94.3495 vom 5. Oktober 1994</w:t>
      </w:r>
    </w:p>
    <w:p>
      <w:r>
        <w:t>Bundesverwaltung, 1994-10-05, DE</w:t>
      </w:r>
    </w:p>
    <w:p>
      <w:r>
        <w:rPr>
          <w:b/>
        </w:rPr>
        <w:t xml:space="preserve">Quelle: </w:t>
      </w:r>
      <w:r>
        <w:t>https://mcp.opencaselaw.ch/entscheid/ch_vb_94.3495</w:t>
      </w:r>
    </w:p>
    <w:p>
      <w:r>
        <w:t>FR: CH_VB 94.3495 du 5 octobre 1994</w:t>
      </w:r>
    </w:p>
    <w:p>
      <w:r>
        <w:t>IT: CH_VB 94.3495 del 5 ottobre 1994</w:t>
      </w:r>
    </w:p>
    <w:p>
      <w:pPr>
        <w:pStyle w:val="Heading2"/>
      </w:pPr>
      <w:r>
        <w:t>Erwägungen</w:t>
      </w:r>
    </w:p>
    <w:p>
      <w:r>
        <w:rPr>
          <w:b/>
        </w:rPr>
        <w:t>E. 24</w:t>
      </w:r>
    </w:p>
    <w:p>
      <w:r>
        <w:t>März 1995 N 995 Interpellation Reimann Maximilian 3. Les taux réels à long terme sont-ils effectivement surfaits comme l'affirment les interpellants? Ces taux ne sauraient être appréciés sur la base du taux d'inflation actuel. Ils doivent être évalués dans la perspective de l'inflation présumée des an- nées futures. Il faut s'attendre à ce que cette dernière soit plus élevée que l'inflation actuelle en raison de la reprise économi- que qui s'annonce et de la taxe sur la valeur ajoutée. Par conséquent, les taux à long terme n'atteignent pas 5 pour cent, mais se situent nettement au-dessous de ce niveau. Le Conseil fédéral ne dispose pas des chiffres nécessaires pour lui permettre de quantifier les effets de taux surfaits sur la répartition des revenus. Il ne faut cependant pas perdre de vue que la hausse des intérêts s'est traduite par de lourdes pertes en capital pour les placements à long terme, pertes qui, dans la majorité des cas, ont vraisemblablement dépassé l'accrois- sement des intérêts. En 1994, tant le cours des obligations que celui des actions ont chuté. On peut donc en déduire, compte tenu de la dévalorisation du capital, que les revenus de ce der- nier ont plutôt diminué. 4. Entre le milieu de 1993 et le milieu de 1994, la monnaie de banque centrale a dépassé largement le taux de croissance moyen visé par la BNS. L'agrégat monétaire M1 (composé des numéraires en circulation et des dépôts à vue) a égale- ment connu une forte expansion jusqu'au début de 1994. Par ailleurs, tant les taux à court terme qu'à long terme ont baissé jusqu'à la fin du printemps 1994, ce qui contredit l'assertion selon laquelle la BNS aurait mené une politique monétaire exagérément restrictive. Ces derniers mois, la croissance de la monnaie de banque centrale s'est à nouveau infléchie. Elle est retombée, au der- nier trimestre de 1994, au niveau inférieur de la fourchette vi- sée par la BNS. Parallèlement, cependant, la demande de li- quidités des banques commerciales a diminué, raison pour la- quelle les taux à court terme ont baissé ces derniers temps et le DM a regagné du terrain par rapport au franc. 5. Après avoir atteint leur niveau le plus bas (env. 4 pour cent) au début de 1994, les taux à long terme ont repris l'ascenseur pour se stabiliser depuis septembre à 5,5 pour cent environ pendant que les taux courts «végètent» entre 3,5 et 4 pour cent. Eu égard au faible taux d'inflation et à la reprise modérée de la conjoncture, le niveau élevé des taux ne s'explique pas uniquement par des facteurs endogènes. En effet, la hausse des taux d'intérêts réels et les craintes inflationnistes qui se manifestent à l'étranger se sont répercutées, en raison de l'internationalisation des marchés des capitaux, sur nos taux à long terme. L'introduction de la taxe à la valeur ajoutée devrait entraîner une hausse unique des prix cette année. Dès lors, un assou- plissement de la politique monétaire ne ferait qu'accroître le risque inflationniste induit par l'introduction de la TVA et pour- rait entraîner les intérêts à long terme à la hausse. 6. Le Conseil fédéral et la Banque nationale n'ont cessé de rappeler que la politique monétaire devait tendre avant toute chose à la stabilité des prix, condition première d'une crois- sance régulière et durable. Vouloir déroger à ce principe pour des raisons conjoncturelles comporterait le risque de provo- quer une déstabilisation de la croissance économique à long terme. Tant les théories économiques que la pratique montrent claire- ment que le marché du travail ne peut être soutenu à long terme par le biais de mesures monétaires. Quant au taux de change, la BNS est mal armée pour l'influencer à long terme sans risquer de compromettre sérieusement la stabilité des prix Par expérience, la BNS sait qu'en négligeant les objectifs monétaires pour des motifs relevant des taux de change elle va, à coup sûr, provoquer ultérieurement un regain d'inflation. En revanche, la stabilité des prix constitue un objectif qui sem- ble à sa portée; il crée en outre des conditions générales sta- bles qui sont tout à l'avantage de l'économie suisse. Au demeurant, il convient de relever que bien des Etats parta- gent les vues du Conseil fédéral et de la Banque nationale. A preuve, la majorité des banques centrales européennes ont fait de la stabilité des prix leur objectif prioritaire. Il figure d'ail- leurs parmi les obligations auxquelles devront souscrire les banques centrales de la future Union européenne. Ce constat vaut par ailleurs pour de nombreuses banques centrales de la planète. 7. Aux termes de l'article 63 alinéa 2 LBN, la Confédération exerce une surveillance sur la Banque nationale principale- ment par l'entremise du Conseil fédéral à l'agrément duquel la BNS soumet son rapport de gestion et les comptes annuels. En outre, lorsqu'il s'agit de prendre d'importantes décisions en matière de politique conjoncturelle et monétaire, le Conseil fédéral et la BNS s'informent de leurs intentions et se concer- tent préalablement Par ailleurs, l'article 63 alinéa 2 lettre k LBN prévoit que le Conseil fédéral informe le Parlement de la politique monétaire menée par la Banque nationale. Le Conseil fédéral estime que la formule actuelle donne satisfac- tion. Elle permet à la BNS d'échapper dans une certaine me- sure aux contraintes politiques quotidiennes. Une politique monétaire axée sur la stabilité des prix ne saurait être menée à bien sans une certaine indépendance. A noter, enfin, que la Banque nationale tient régulièrement des conférences de presse pour présenter ses objectifs et rendre compte de ses activités. Elle expose également sa politique dans des bulletins trimestriels et dans son rapport de gestion. Le Conseil fédéral estime donc qu'un rapport d'activité sup- plémentaire ne s'impose pas. Le président: Les interpellateurs ne sont pas satisfaits de la réponse du Conseil fédéral et demandent la discussion. Abstimmung - Vote Für den Antrag auf Diskussion Dagegen Verschoben - Renvoyé 80 Stimmen 47 Stimmen #ST# 94.3573 Interpellation Reimann Maximilian Job-sharing von Kaderstellen in der Bundesverwaltung Administration fédérale. Postes de cadres en «job-sharing» Wortlaut der Interpellation vom 16. Dezember 1994 In der Bundesverwaltung werden zunehmend Kaderstellen im Job-sharing-System vergeben. In diesem Zusammenhang frage ich den Bundesrat an: 1. Entspricht es einer personalpolitischen Zielsetzung des Bundes, möglichst viele Kaderstellen auf mehr als eine Person aufzuteilen, oder bleibt das Kaderstellensplitting eher der Aus- nahmefall? 2. Wie viele Kaderstellen sind heute bereits im Job-sharing- System besetzt? 3. Wie verhält sich das Job-sharing-System bezüglich Lohn- kosten und Raumbedarf im Vergleich zu Kaderstellen, die nach herkömmlichem System besetzt sind: a Resultieren höhere Lohn- und Sozialkosten, und falls ja, nach welcher Aufschlüsselung? b. Resultieren höhere Büroraumkosten für den Fall, dass beide Kaderstelleninhaber gleichzeitig arbeiten wollen, oder ist dieser Fall ausgeschlossen? 4. Wer entscheidet bei Meinungsdifferenzen und Kompetenz- konflikten, falls solche zwischen den beiden Stelleninhabern entstehen? Geht durch die Differenzbereinigung nicht wert- volle Arbeitszeit verloren? 5. Glaubt der Bundesrat, mit diesem Arbeitsmodell auch avantgardistische Vorzeichen für die private Wirtschaft setzen zu müssen?</w:t>
      </w:r>
    </w:p>
    <w:p>
      <w:r>
        <w:t>Schweizerisches Bundesarchiv, Digitale Amtsdruckschriften Archives fédérales suisses, Publications officielles numérisées Archivio federale svizzero, Pubblicazioni ufficiali digitali Interpellation der sozialdemokratischen Fraktion Schweizerfranken und Kapitalmarktzinsen Interpellation du groupe socialiste Cours du franc suisse et taux d'intérêts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94.3495 Numéro d'objet Numero dell'oggetto Datum 24.03.1995 - 08:00 Date Data Seite 992-995 Page Pagina Ref. No 20 025 552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