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94.3483 vom 2. Februar 1995</w:t>
      </w:r>
    </w:p>
    <w:p>
      <w:r>
        <w:t>Bundesverwaltung, 1995-02-02, DE</w:t>
      </w:r>
    </w:p>
    <w:p>
      <w:r>
        <w:rPr>
          <w:b/>
        </w:rPr>
        <w:t xml:space="preserve">Quelle: </w:t>
      </w:r>
      <w:r>
        <w:t>https://mcp.opencaselaw.ch/entscheid/ch_vb_94.3483</w:t>
      </w:r>
    </w:p>
    <w:p>
      <w:r>
        <w:t>FR: CH_VB 94.3483 du 2 février 1995</w:t>
      </w:r>
    </w:p>
    <w:p>
      <w:r>
        <w:t>IT: CH_VB 94.3483 del 2 febbraio 1995</w:t>
      </w:r>
    </w:p>
    <w:p>
      <w:pPr>
        <w:pStyle w:val="Heading2"/>
      </w:pPr>
      <w:r>
        <w:t>Erwägungen</w:t>
      </w:r>
    </w:p>
    <w:p>
      <w:r>
        <w:rPr>
          <w:b/>
        </w:rPr>
        <w:t>E. 2</w:t>
      </w:r>
    </w:p>
    <w:p>
      <w:r>
        <w:t>Februar 1995 N 311 Motion Vollmer ment des comptes. Le 11 janvier 1995, le Conseil fédéral a pris acte de l'intention du chef du DFJP de nommer un groupe d'experts conformément aux conclusions du groupe de ré- flexion. Ce groupe d'experts sera chargé d'élaborer de nouvel- les dispositions applicables à l'établissement des comptes. Il devra tout particulièrement étudier l'opportunité de créer des normes particulières pour les instruments dérivés. A cet égard, les recherches devront également s'étendre aux fondations, notamment aux caisses de pensions. Il convient d'éviter de fixer tout objectif aux experts afin que ceux-ci puissent orienter leurs travaux comme bon leur semble. Schriftliche Erklärung des Bundesrates Der Bundesrat beantragt, die Motion in ein Postulat umzu- wandeln. Déclaration écrite du Conseil fédéral Le Conseil fédéral propose de transformer la motion en pos- tulat David Eugen (C, SG), Berichterstatter: Wir unterbreiten Ihnen hier eine Kommissionsmotion. Die Kommission hat sich im Zuge der Beratung des Börsengesetzes auch mit den Derivat- geschäften befasst und der Bankenkommission sowie der Na- tionalbank den Auftrag erteilt, je einen Bericht darüber zu er- stellen. Die Berichte wurden im vergangenen Jahr abgeliefert, und die Kommission hat diese Berichte einlässlich diskutiert Das Ergebnis ist die vorliegende Motion, die verlangt, dassdie Bestimmungen über die Rechnungslegung revidiert werden, damit die Risiken, die mit Derivatgeschäften verbunden sind, in den Bilanzen angemessen zum Ausdruck kommen können. Weder die Nationalbank noch die Bankenkommission hat sich grundsätzlich negativ zu den Derivatgeschäften geäussert. Sie sehen darin, im Gegenteil, ein notwendiges Finanzmarkt- instrument zur Steuerung von Risiken. Diese Berichte wurden allerdings vor dem Nettoverlust der Pensionskasse der Lan- dis &amp; Gyrim Betrag von 170 Millionen Franken erstellt Wenn man sich vor Augen hält, dass allein bei dieser Pensi- onskasse innert neun Monaten ein Bruttoverlust von rund 400 Millionen Franken entstand, der teilweise mit alten Gewin- nen verrechnet werden konnte, dann ist das doch ein sehr deutlicher Hinweis, dass an den Derivatmärkten ein grosses Risiko besteht. Allerdings, das hat uns die Nationalbank ganz klar gesagt, darf dieses Risiko des Anlegers nicht mit einem volkswirtschaftlichen Risiko verwechselt werden. Das Risiko für die gesamte Volkswirtschaft besteht nach Auffassung der Nationalbank bei diesen Märkten nicht Damit das Anlegerrisiko in Grenzen gehalten werden kann - das gilt natürlich insbesondere für Pensionskassen -, müssen unserer Meinung nach die Rechnungslegungsvorschriften des OR und des Banken- und Börsenrechtes - schliesslich auch die des Bundesgesetzes über die berufliche Alters-, Hin- terlassenen- und Invalidenvorsorge (BVG) - so angepasst werden (allenfalls auch bezüglich der Frage der Rückstellun- gen), dass diese Risiken Sichtbarwerden und die Stiftungsräte nicht die Ausflucht vorbringen können, sie hätten von allem nichts gewusst Denn schon heute schreibt das BVG vor, dass bei der Anlage des Vermögens einer Vorsorgeeinrichtung die Sicherheit im Vordergrund stehen müsse. Dieser Bestimmung müssen die Stiftungsräte natürlich nachleben. Insbesondere müssen sie auch die Derivatanlagen der von ihnen beauftrag- ten Geschäftsführer auf das sorgfältigste prüfen. Die Ausrede, man habe von nichts gewusst, ist natürlich nicht zulässig, je- denfalls dann nicht mehr, wenn in den Büchern diese Risiken klar zum Ausdruck gebracht werden. Wir erachten diese Motion als relativ dringlich und ersuchen den Bundesrat, diesem Anliegen bald Rechnung zu tragen. Stich Otto, Bundesrat: Der Bundesrat ist sich bewusst, dass die neuen Instrumente natürlich auch neue Risiken bringen. Aber die Risiken sind letztlich durch die Marktteilnehmer abzu- schätzen, und diese sind schon heute verpflichtet, die Risiken in den Bilanzen entsprechend einzusetzen. Bei den Banken selber hat man die Eigenmittelvorschriften et- was angepasst. Ob auch das Obligationenrecht geändert wer- den soll oder ob man für die Pensionskassen besondere Vor- schriften erlassen soll, ist eine andere Frage. Der Bundesrat ist bereit, diese Motion in der Form eines Po- stulates entgegenzunehmen. Couchepin Pascal (R, VS), rapporteur: Au nom de la commis- sion et en mon nom personnel, je vous demande de transmet- tre la motion de la Commission de l'économie et des redevan- ces, vu l'importance de ce sujet Nous vous rendons attentifs au fait que si vous refusez de transmettre la motion, il ne restera plus rien, ni motion ni postu- lat En effet, ce n'est pas comme dans d'autres circonstances où une motion peut être acceptée sous forme de postulat Ici, il s'agit de savoir si nous voulons une motion ou rien et non une motion ou un postulat puisque la commission refuse la transformation de la motion en postulat. Abstimmung - Vote Für Überweisung der Motion Bestimmen (Einstimmigkeit) #ST# 93.3127 Motion Vollmer Verfassungsgrundlagen zur Zweckbindung der Treibstoffzölle Base constitutionnelle pour l'affectation des droits d'entrée sur les carburants Wortlaut der Motion vom 17. März 1993 Mit der kürzlichen Treibstoffzollerhöhung, aber auch mit dervor- gesehenen zukünftigen Zweckbindung der Autobahnvignette und der Schwerverkehrsabgabe gemäss den Bestimmungen von Artikel 36ter der Bundesverfassung ist die Kritik an einer ein- seitig strassenfördernden Politik noch verstärkt worden. Der Bundesrat wird eingeladen, die sich auf Artikel 36ter stüt- zenden Folgeerlasse derart auszugestalten, dass a der heute bereits bestehende Verfassungsspielraum zu- gunsten der Verwendung der Treibstoffgelder auch ausser- halb des Strassenbaus (insbesondere im Umweltbereich) an- teilmässig massiv gestärkt wird; b. die Zweckbestimmung auch im Hinblick auf die Förderung des öffentlichen Verkehrs (Verkehrstrennung/kombinierter Verkehr u. a m.) wirkungsvoller zum Zuge kommt Mittelfristig hat der Bundesrat eine erneuerte Verfassungs- grundlage vorzubereiten, welche die heutige Zweckbindung durch eine Bestimmung ablöst, c. nach der die Mittelverwendung zur Deckung sämtlicher durch den Verkehr entstehenden Kosten (inklusive sogenann- ter externer Kosten) ermöglicht wird; d. damit ein allfälliger (nach der Deckung der direkten und ex- ternen Kosten verbleibender) Reinertrag nach den Grundsät- zen eines Ökobonus zurückerstattet werden kann. Texte de la motion du 17 mars 1993 A la suite de la récente hausse des droits d'entrée sur les car- burants, mais aussi à cause du projet d'affectation future de la vignette autoroutière et de la redevance sur les poids lourds aux fins prévues par l'article 36ter de la constitution, les criti- ques à l'égard d'une politique toujours plus unilatéralement en faveur des routes se sont faites encore plus vives. Le Conseil fédéral est prié de formuler les actes législatifs fondés sur l'article 36ter de telle manière que: a. la marge de manoeuvre déjà permise par la constitution pour l'utilisation des taxes sur les carburants à d'autres fins que la construction de routes (en particulier dans le domaine de l'environnement) soit notablement élargie en ce qui concerne les taux appliqués;</w:t>
      </w:r>
    </w:p>
    <w:p>
      <w:r>
        <w:t>Schweizerisches Bundesarchiv, Digitale Amtsdruckschriften Archives fédérales suisses, Publications officielles numérisées Archivio federale svizzero, Pubblicazioni ufficiali digitali Motion WAK-NR (93.025) Risiken der Finanzderivate Motion CER-CN (93.025) Risques liés aux instruments financiers dérivés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94.3483 Numéro d'objet Numero dell'oggetto Datum 02.02.1995 - 15:00 Date Data Seite 309-311 Page Pagina Ref. No 20 025 295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