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94.3466 vom 16. Dezember 1994</w:t>
      </w:r>
    </w:p>
    <w:p>
      <w:r>
        <w:t>Bundesverwaltung, 1994-12-16, DE</w:t>
      </w:r>
    </w:p>
    <w:p>
      <w:r>
        <w:rPr>
          <w:b/>
        </w:rPr>
        <w:t xml:space="preserve">Quelle: </w:t>
      </w:r>
      <w:r>
        <w:t>https://mcp.opencaselaw.ch/entscheid/ch_vb_94.3466</w:t>
      </w:r>
    </w:p>
    <w:p>
      <w:r>
        <w:t>FR: CH_VB 94.3466 du 16 décembre 1994</w:t>
      </w:r>
    </w:p>
    <w:p>
      <w:r>
        <w:t>IT: CH_VB 94.3466 del 16 dicembre 1994</w:t>
      </w:r>
    </w:p>
    <w:p>
      <w:pPr>
        <w:pStyle w:val="Heading2"/>
      </w:pPr>
      <w:r>
        <w:t>Erwägungen</w:t>
      </w:r>
    </w:p>
    <w:p>
      <w:r>
        <w:rPr>
          <w:b/>
        </w:rPr>
        <w:t>E. 16</w:t>
      </w:r>
    </w:p>
    <w:p>
      <w:r>
        <w:t>décembre 1994 3. Dans quelle mesure pratique-t-on en Suisse une recherche orientée vers les causes de la toxicomanie? 4. Les résultats de cette recherche sont-ils déjà appliqués aux activités de prévention? Peut-on, dans ce sens, parler d'une politique antidrogue orientée vers les causes de la toxicomanie? 5. La recherche orientée vers les causes de la toxicomanie peut-elle encore être menée avec suffisamment d'intensité malgré la concentration actuelle des efforts scientifiques sur la distribution contrôlée d'héroïne? Mitunterzeichner - Cosignataires: Keine - Aucun Schriftliche Begründung - Développement par écrit L'auteur renonce au développement et demande une réponse écrite. Schriftliche Stellungnahme des Bundesrates vom 28. November 1994 Rapport écrit du Conseil fédéral du 28 novembre 1994 1. Les causes de la toxicomanie et les motifs qui poussent une personne à commencer à consommer des drogues sont multi- ples. Les scientifiques et les praticiens reconnaissent qu'il s'agit presque toujours d'une combinaison de facteurs, faisant entrer en jeu des aspects de la personne et de son histoire, de l'environnement social et de l'accessibilité des substances. Certaines situations, comme l'usage de produits psychotro- pes par les parents ou frères et soeurs, l'accumulation d'échecs et d'exclusions scolaires ou professionnels, une éducation familiale sans cohérence ou alors par trop protec- trice, une expérience précoce de l'usage régulier de médica- ments non prescrits, de tabac ou d'alcool, etc., sont des fac- teurs reconnus d'aggravation des risques. Il n'y a cependant pas de relations de causalité simples ni univoques, et la majo- rité des enfants ayant vécu de telles «situations à risque» ne deviennent pas toxicomanes. 2. Ces connaissances sont aussi bien basées sur des études suisses que sur la littérature scientifique internationale. 3. Plusieurs enquêtes statistiques récentes en Suisse (en- quête en milieu scolaire en 1994, enquête sur la santé des ado- lescents en 1992/93, enquête suisse de santé 1992/93, diver- ses enquêtes sur les toxicomanes en traitement) donnent des informations importantes sur les caractéristiques sociales et démographiques des usagers de drogue comparés au reste de la population. Des travaux scientifiques basés sur d'autres méthodes (approche biographique, rétrospective, analyses ethnographiques, études qualitatives sur la prise de risque, etc.) viennent compléter ces connaissances. 4. Les résultats de ces analyses scientifiques suisses et étran- gères sont déjà en majeure partie appliqués aux activités de prévention. Toutefois, les facteurs de risque faisant souvent partie intégrante des structures sociales, les programmes de prévention doivent généralement s'orienter vers l'apprentis- sage de façon àsurmonterdes difficultés, sans pouvoirsuppri- mer les risques. 5. La recherche orientée sur les causes et les situations favori- sant la toxicomanie a pu jusqu'ici être menée avec une inten- sité soutenue. Les recherches liées aux essais scientifiques avec distribution contrôlée n'ont pas fait obstacle à ces pro- jets. L'élargissement et l'approfondissement des questions de recherche liées à l'extension de ces essais devront être finan- cés par une rallonge de crédits afin de ne pas épuiser les res- sources nécessaires pour la recherche sur les causes de la toxicomanie. Erklärung des Interpellanten: nicht befriedigt Déclaration de l'interpellateur: non satisfait #ST# 94.3177 Interpellation Hari Anhänger an vierradangetriebenen Motorfahrzeugen. Änderung der Verkehrsregelnverordnung Remorques des véhicules à quatre roues motrices. Modification de l'ordonnance sur les règles de la circulation routière Wortlaut der Interpellation vom 30. Mai 1994 Durch die überraschend erfolgte Teilrevision der Verkehrsre- gelnverordnung (VRV) werden viele Landwirte, besonders im Berg- und Hügelgebiet, vor grosse Schwierigkeiten gestellt Ich frage deshalb den Bundesrat an, ob er nicht bereit wäre, auf seinen Beschluss vom 11. März 1994 zurückzukommen und dabei die Frage zu prüfen, ob Artikel 68 Absatz 4 der VRV nicht doch besser in der alten Fassung zu belassen sei. Texte de l'Interpellation du 30 mai 1994 La révision partielle inattendue de l'ordonnance sur les règles de la circulation routière (OCR) place de nombreux paysans devant de grandes difficultés, notamment dans les régions de montagne et de collines. Je demande par conséquent au Conseil fédéral s'il ne serait pas prêt à revenir sur sa décision du 11 mars 1994 et d'exami- ner l'opportunité de rétablir l'ancienne teneur de l'article 68 alinéa4del'OCR. Mitunterzeichner - Cosignataires: Bezzola, Bühler Simeon, Bundi, Bürgi, Columberg, Daepp, Engler, Jäggi Paul, Kühne, Schmidhalter, Schnider, Schwab, Seiler Hanspeter, Wittenwi- ler.Wyss William (15) Schriftliche Begründung - Développement par écrit Am 11. März 1994 beschloss der Bundesrat, die Verkehrsre- gelnverordnung (VRV) zu ändern; er setzte diese Änderungen bereits auf den 1. April 1994 in Kraft. Das EJPD hat es dabei versäumt, die Bevölkerung rechtzeitig über die neuen Verkehrsvorschriften zu informieren. Besonders hart scheint mir die neue Fassung von Artikel 68 Absatz 4, wonach landwirtschaftliche Anhänger nur noch an Motorfahrzeuge mit bauartbedingten Höchstgeschwindigkei- ten von 30 km/h und an gewerbliche Traktoren angekoppelt werden dürfen. Gemäss bisheriger Regelung durften diese landwirtschaftli- chen Anhänger mit allen vierradangetriebenen Motorfahrzeu- gen mitgeführt werden. Sie stellten kein erhebliches Sicher- heitsrisiko dar. Schriftliche Stellungnahme des Bundesrates vom 3. Oktober 1994 Rapport écrit du Conseil fédéral du 3 octobre 1994 Nach Artikel 68 Absatz 4 VRV in der seit dem! April 1994 gülti- gen Fassung sind landwirtschaftliche Anhänger nur an Motor- fahrzeugen mit einer bauartbedingten Höchstgeschwindigkeit von 30 km/h und an gewerblichen Traktoren gestattet Bis zu jenem Zeitpunkt durften landwirtschaftliche Anhänger an land- wirtschaftlichen Motorfahrzeugen, an gewerblichen Traktoren und an Motorwagen mit Allradantrieb mitgeführt werden. Die im Sommer 1993 in die Vernehmlassung gegebene Revi- sion von Artikel 68 Absatz 4 VRV über das Mitführen von land- wirtschaftlichen Anhängern an allradangetriebenen Zugfahr- zeugen mit mehr als 30 km/h wurde von der Vereinigung der Strassenverkehrsämter (VSA) beantragt. Aber nicht nur von der VSA, auch von anderen Stellen wurde darauf hingewiesen, dass viele gewerbliche Transporte unberechtigterweise mit landwirtschaftlichen Anhängern, die weder immatrikuliert</w:t>
      </w:r>
    </w:p>
    <w:p>
      <w:r>
        <w:t>Schweizerisches Bundesarchiv, Digitale Amtsdruckschriften Archives fédérales suisses, Publications officielles numérisées Archivio federale svizzero, Pubblicazioni ufficiali digitali Interpellation Schmied Walter Ursachen des Drogenabhängigkeit. Forschung Interpellation Schmied Walter Recherche sur les causes de la toxicomanie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94.3466 Numéro d'objet Numero dell'oggetto Datum 16.12.1994 - 08:00 Date Data Seite 2485-2486 Page Pagina Ref. No</w:t>
      </w:r>
    </w:p>
    <w:p>
      <w:r>
        <w:rPr>
          <w:b/>
        </w:rPr>
        <w:t>E. 20</w:t>
      </w:r>
    </w:p>
    <w:p>
      <w:r>
        <w:t>024 980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