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94.3419 vom 24. März 1995</w:t>
      </w:r>
    </w:p>
    <w:p>
      <w:r>
        <w:t>Bundesverwaltung, 1995-03-24, DE</w:t>
      </w:r>
    </w:p>
    <w:p>
      <w:r>
        <w:rPr>
          <w:b/>
        </w:rPr>
        <w:t xml:space="preserve">Quelle: </w:t>
      </w:r>
      <w:r>
        <w:t>https://mcp.opencaselaw.ch/entscheid/ch_vb_94.3419</w:t>
      </w:r>
    </w:p>
    <w:p>
      <w:r>
        <w:t>FR: CH_VB 94.3419 du 24 mars 1995</w:t>
      </w:r>
    </w:p>
    <w:p>
      <w:r>
        <w:t>IT: CH_VB 94.3419 del 24 marzo 1995</w:t>
      </w:r>
    </w:p>
    <w:p>
      <w:pPr>
        <w:pStyle w:val="Heading2"/>
      </w:pPr>
      <w:r>
        <w:t>Erwägungen</w:t>
      </w:r>
    </w:p>
    <w:p>
      <w:r>
        <w:rPr>
          <w:b/>
        </w:rPr>
        <w:t>E. 24</w:t>
      </w:r>
    </w:p>
    <w:p>
      <w:r>
        <w:t>mars 1995 5. Die neuesten im Bundesamt für Energiewirtschaft erstellten Energieperspektiven zeigen, dass die Elektrizitätsnachfrage auch im nächsten Jahrhundert weiter zunehmen dürfte, wenn auch mit deutlich geringeren Zuwachsraten als bisher. Bei ge- deihlicher Wirtschaftsentwicklung und bei der Fortsetzung der bestehenden Energiepolitik (kantonale Energiegesetze, Ener- gienutzungsbeschluss, «Energie 2000») würde die jährliche Zuwachsrate zwischen 2000 und 2030 aufgrund der Modell- rechnungen 0,69 Prozent, bei der Realisierung der beabsich- tigten Politik (Ablösung des Energienutzungsbeschlusses durch das vorgeschlagene Energiegesetz, Einführung der vorgeschlagenen COa-Abgabe) 0,55 Prozent betragen. Eine Stabilisierung oder Senkung der Elektrizitätsnachfrage dürfte bei der unterstellten wirtschaftlichen Rahmenentwicklung nur mit zusätzlichen und stärkeren Massnahmen für eine ratio- nelle Elektrizitätsverwendung erreichbar sein. Im Hinblick auf die ab 2010 auslaufenden Elektrizitätsimport- verträge und die voraussichtliche Lebensdauer der Kernkraft- werke von rund vierzig Jahren stellt sich die Frage, wie die schweizerische Elektrizitätsnachfrage nach 2010 gedeckt wer- den soll. Nach Auffassung des Bundesrates sind sämtliche Möglichkeiten auf der Angebots- und Nachfrageseite zu prü- fen: verstärkte Elektrizitätssparmassnahmen, neue erneuer- bare Energien, Wasserkraft, Kernenergie, fossile Energien so- wie Elektrizitätsimporte. Allerdings gibt es bei sämtlichen die- ser Optionen unterschiedliche Probleme der Akzeptanz, der Wirtschaftlichkeit und der Umweltbelastung. Eine weiterhin praktisch CO2-neutrale Elektrizitätsversorgung hat für die schweizerische Umwelt- und Klimaschutzpolitik grosses Gewicht Falls fossil-thermische Kraftwerke einge- setzt werden, welche selbstverständlich dem Stand der Tech- nik entsprechen müssen, sind kompensatorische Massnah- men nötig, wie die rationellere Energieverwendung, die Sub- stitution von fossilen Energien durch Abwärmenutzung und elektrische Wärmepumpen usw. Die möglichst weit gehende Nutzung der Abwärme ist prioritär, falls fossil-thermische Anla- gen zum Einsatz kommen. Diesem Anliegen tragen auch die Vorschläge für ein Energiegesetz und eine COe-Abgabe Rech- nung. Im Falle einer Zunahme des Gasverbrauches würden die Zuverlässigkeit der Lieferanten, die Sicherheit und Diversi- fikation der Transportwege und weitere Massnahmen, wie Gasspeicher und Verträge, die unterbrechbare Lieferungen vorsehen, als Bestandteile der Krisenvorsorge zunehmendes Gewicht erhalten. Auch der Einsatz der Kernenergie, der Was- serkraft und längerfristig der neuen erneuerbaren Energien kann zur Stabilisierung und Reduktion der CO2-Emissionen beitragen. Falls sich zusätzliche Elektrizitätsimporte als not- wendig erweisen, ist die technische Zusammenarbeit mit den ausländischen Partnern voranzutreiben, um mit der Schweiz möglichst vergleichbare Standards zu erreichen. 6. Der Bundesrat teilt die Auffassung, dass in den nächsten Jahren die politische Diskussion überdie künftige Elektrizitäts- versorgung intensiviert werden muss. Diese Gelegenheit er- gibt sich in nächster Zeit mit den anstehenden Vorlagen über das Energiegesetz, die COs-Abgabe, die energiepolitischen Volksinitiativen (Volksinitiative für einen Solar-Rappen, Ener- gie-Umwelt-Initiative) und die Totalrevision des Atomgeset- zes. Mit dem Energiegesetz und der COa-Abgabe, mit dem Kernenergiegesetz, der Vereinfachung und Beschleunigung von Bewilligungsverfahren sowie mit der Überprüfung der Or- ganisation des Elektrizitätsmarktes sollten die nötigen Rah- menbedingungen geschaffen werden. Entscheidend ist, dass in den Behörden und Parlamenten aller Ebenen sowie in der Bevölkerung ein innovations- und investitionsfreundliches Klima geschaffen wird. Die Elektrizitätswirtschaft braucht poli- tische Unterstützung und Akzeptanz Dafür muss sie selber - insbesondere auch im Bereich der rationellen Elektrizitätsver- wendung-Wesentliches beitragen. 7. Bei der Verbesserung der Rahmenbedingungen für Neu- und Ersatzinvestitionen in der Elektrizitätswirtschaft stehen die Bemühungen des Bundesrates zur Vereinfachung und Be- schleunigung der Bewilligungsverfahren im Zentrum. Damit sind für die Elektrizitätswirtschaft kürzere Realisierungszeiten und kostengünstigere Anlagen möglich. Der Spielraum wird dabei begrenzt durch die Anforderungen des Rechtsschutzes, der Demokratie und des Föderalismus. Deregulierungen dür- fen insbesondere Umweltschutz und Sicherheit nicht in Frage stellen. Im Rahmen von «Energie 2000» befasst sich eine Konfliktlö- sungsgruppe mit den noch vorhandenen Ausbaumöglichkei- ten der Wasserkraftnutzung und stellt Kriterien bereit, um Kon- senslösungen zwischen Projektanden und Umweltschutzor- ganisationen herbeizuführen. Eine weitere Konfliktlösungs- gruppe befasst sich mit einem nationalen Konzept für Übertra- gungsleitungen und erarbeitet Kriterien, um die Ausbaupläne der Uberlandwerke und der Schweizerischen Bundesbahnen zu beurteilen. Das EVED wird die Zusammenarbeit mit der Energiewirtschaft und den weiteren beteiligten Organisatio- nen im Interesse einer sicheren, wirtschaftlichen und umwelt- schonenden Energieversorgung weiterführen und nach Mög- lichkeitausbauen. Mit der Botschaft vom 19. Januar 1994 über die Teilrevision des Atomgesetzes und des Bundesbeschlusses zum Atomge- setz hat der Bundesrat dem Parlament eine Vereinfachung der Bewilligungsverfahren im Bereich der nuklearen Entsorgung unterbreitet Mit der Revision des Raumplanungsgesetzes und der Verordnung über die Umweltverträglichkeitsprüfung sowie mit dem Projekt «Verbesserung der Koordination der Entscheidverfahren für Grossprojekte» der Verwaltungskon- trolle des Bundes (VKB) wurden weitere konkrete Schritte ein- geleitet Mit dem bestehenden Energienutzungsbeschluss sind die öf- fentlichen Elektrizitätsversorgungsunternehmen verpflichtet, von Eigenerzeugern angebotenen Strom zu gesamtwirtschaft- lich angemessenen Bedingungen zu übernehmen. Diese Be- stimmung ist das Gegengewicht zur Marktmacht der Elektrizi- tätswirtschaft. Mit der Abnahmepflicht besteht Gewähr, dass die aus versorgungspolitischen Gründen erwünschten dezen- tralen Stromerzeugungsanlagen, wie z. B. Kleinwasserkraft- werke, eine Chance haben. Zu erwähnen sind die Anstrengungen der Kantone und Ge- meinden. Insbesondere sollten im Baubewilligungsverfahren die Nutzung erneuerbarer Energien, beispielsweise die Instal- lation von Photovoltaikanlagen, und bauliche Energiespar- massnahmen nicht unnötig erschwert werden. Zur Verbesserung der Rahmenbedingungen gehören nicht zuletzt Massnahmen des Bundes (Energiegesetz, COa- Abgabe) und der Kantone sowie der Wirtschaft zur rationellen Energieverwendung und zur Förderung der neuen erneuerba- ren Energien im Rahmen des Aktionsprogramms «Ener- gie 2000». Die politische Realisierbarkeit von Kraftwerkprojek- ten und das Ausmass der benötigten Kapazitäten sowie der Bedarf an Elektrizitätsimporten hängen auch vom Erfolg die- ser Politik ab. Le président: L'interpellatrice est partiellement satisfaite de la réponse du Conseil fédéral et demande la discussion. Abstimmung - Vote Für den Antrag auf Diskussion Dagegen Verschoben -Renvoyé 114 Stimmen 11 Stimmen</w:t>
      </w:r>
    </w:p>
    <w:p>
      <w:r>
        <w:t>Schweizerisches Bundesarchiv, Digitale Amtsdruckschriften Archives fédérales suisses, Publications officielles numérisées Archivio federale svizzero, Pubblicazioni ufficiali digitali Interpellation Spoerry Künftige Elektrizitätsversorgung der Schweiz Interpellation Spoerry Avenir de l'approvisionnement de la Suisse en électricité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94.3419 Numéro d'objet Numero dell'oggetto Datum 24.03.1995 - 08:00 Date Data Seite 1001-1004 Page Pagina Ref. No 20 025 556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