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94.3390 vom 24. März 1995</w:t>
      </w:r>
    </w:p>
    <w:p>
      <w:r>
        <w:t>Bundesverwaltung, 1995-03-24, DE</w:t>
      </w:r>
    </w:p>
    <w:p>
      <w:r>
        <w:rPr>
          <w:b/>
        </w:rPr>
        <w:t xml:space="preserve">Quelle: </w:t>
      </w:r>
      <w:r>
        <w:t>https://mcp.opencaselaw.ch/entscheid/ch_vb_94.3390</w:t>
      </w:r>
    </w:p>
    <w:p>
      <w:r>
        <w:t>FR: CH_VB 94.3390 du 24 mars 1995</w:t>
      </w:r>
    </w:p>
    <w:p>
      <w:r>
        <w:t>IT: CH_VB 94.3390 del 24 marzo 1995</w:t>
      </w:r>
    </w:p>
    <w:p>
      <w:pPr>
        <w:pStyle w:val="Heading2"/>
      </w:pPr>
      <w:r>
        <w:t>Volltext</w:t>
      </w:r>
    </w:p>
    <w:p>
      <w:r>
        <w:t>Interpellation Oehler 972 N 24 mars 1995 würde nicht weniger kosten, aber die Risiken erheblich erhö- hen. Dies gilt nicht nur für die Kosten und Risiken der SNB selbst, sondern auchfürjene, die der Wirtschaft (Banken, PTT, Handel) aus dem Bargeldverkehr erwachsen. Der Bundesrat übt auf die Nationalbank grundsätzlich keinen Druck aus. Die Zusammenarbeit zwischen Nationalbank und Bundesrat ist in Artikel 2 Absatz 2 NBG geregelt Dieser hält fest, dass Bundesrat und Nationalbank sich vor Entscheidun- gen von wesentlicher konjunkturpolitischer und monetärer Bedeutung über ihre Absichten unterrichten und ihre Mass- nahmen aufeinander abstimmen. Zudem regelt Artikel 63 NBG die Mitwirkung und Aufsicht des Bundes bei verschiede- nen Geschäften. Diese werden durch den Bundesrat bei- spielsweise durch die Wahl der Vertretung in den Bankbehör- den, durch die Wahl der Mitglieder des Direktoriums, ihrer Stellvertreter und der Direktoren der Zweiganstalten oder durch die Genehmigung des Geschäftsberichtes ausgeübt Insbesondere steht dem Bundesrat gemäss Artikel 63 Ab- satz 2 Litera c NBG bei Widerspruch zwischen einem Kanton und der Nationalbank wegen Errichtung einer Zweiganstalt oder Agentur der Entscheid zu. Im weiteren wäre es nicht sachgerecht, wenn der Bundesrat der Nationalbank im Einzel- fall Weisungen erteilen würde, wie sie ihre Aufgaben zu erfül- len hat Erklärung des Interpellanten: befriedigt Déclaration de l'interpellateur: satisfait #ST# 94.3390 Interpellation Camponovo MWSt auf Inlandflügen mit internationalem Anschluss Interpellanza Camponovo IVA su voli nazionali con allacciamenti internazionali Interpellation Camponovo Lignes intérieures reliées au réseau aérien international. TVA Wortlaut der Interpellation vom 3. Oktober 1994 Die Swissair und die Crossair sowie Randgebiete (z. B. das Tessin), die indirekte internationale Flugverbindungen anbie- ten, sind daran interessiert, dass diese Dienstleistungen ge- genüber der Konkurrenz und dem Ausland nicht durch die Mehrwertsteuer diskriminiert werden. Es geht namentlich darum, die einer internationalen Verbin- dung dienende inländische Zubringerstrecke als Ausland- strecke zu betrachten. Ich frage den Bundesrat, ob die Mehrwertsteuer-Verordnung und ihre Anwendung es erlauben, die inländischen Zubringer- flüge und die internationalen Anschlussflüge als nur eine Dienstleistung zu betrachten, wie dies im Ausland üblich ist Testo dell'interpellanza del 3 ottobre 1994 Swissair, Crossair e zone periferiche (vedi Ticino) che godono di allacciamenti aerei internazionali indiretti sono interessate a che queste prestazioni di servizio siano trattate per quanto at- tiene all'imposizione IVA in modo non discriminatorio rispetto alla concorrenza e alla prassi estera In particolare si tratta di considerare come tratta estera la tratta interna di un collegamento internazionale. Chiedo al Consiglio federale se l'ordinanza IVA e la sua appli- cazione permettono di considerare le tratte interne di collega- mento alle tratte internazionali come prestazioni unitarie, così come dalla prassi intemazionalmente consolidata Texte de l'interpellation du 3 octobre 1994 Les compagnies aériennes Swissair et Crossair, et les zones périphériques (tel le Tessin) qui ne disposent que de liaisons aériennes indirectes avec l'étranger, sont intéressées à ce que ces prestations de service soient traitées de manière non dis- criminatoire par rapport à la concurrence et à la pratique étran- gère pour ce qui est de la TVA II s'agit en particulier de considérer comme ligne extérieure la section intérieure d'une liaison internationale. Je demande au Conseil fédéral si l'ordonnance sur la TVA et son application permettent de considérer les sections intérieu- res de liaisons internationales comme prestations unitaires, comme cela se fait dans la pratique internationale. Mitunterzeichner - Cofirmatari - Cosignataires: Keine - Nes- suno-Aucun Schriftliche Begründung - Motivazione scritta - Développement par écrit L'autore rinuncia alla motivazione e desidera una risposta scritta Schriftliche Stellungnahme des Bundesrates vom 22. Februar 1995 Risposta scritta del Consiglio federale del 22 febbraio 1995 Rapport écrit du Conseil fédéral du 22 février 1995 II Consiglio federale deve, da una parte, tenere in considera- zione gli interessi comuni dei diversi prestatori di servizi nazio- nali (compagnie aeree, ferrovie, aziende di trasporto in torpe- done ecc.) in concorrenza fra di loro. D'altra parte, egli è però anche tenuto a rispettare i diversi accordi internazionali sul traffico aereo e la prassi applicata dagli Stati esteri. L'ordinanza del Consiglio federale concernente l'imposta sul valore aggiunto considera esenti dall'imposta, in conformità della 6a direttiva UÈ e contrariamente alle prestazioni di viaggi di ferrovie o imprese di torpedoni nel traffico internazionale, i voli per i quali il luogo di arrivo o di partenza si trova all'estero. Tuttavia, a seguito degli accordi internazionali in materia e della rispettiva normativa applicata nella vicina Germania, l'amministrazione esenta dall'imposta anche gli scali nazionali di allacciamento ai voli internazionali quando per ragioni tecni- che questi voli comportano scali intermedi in Svizzera o quando lo scalo intermedio serve unicamente al prosegui- mento del viaggio con il prossimo volo di collegamento. Il Consiglio federale è del parere che la soluzione ora adottata è in complesso vantaggiosa sia per le compagnie aeree sia per le zone periferiche. Erklärung des Interpellanten: befriedigt Déclaration de l'interpellateur: satisfait #ST# 94.3497 Interpellation Oehler Währungspolitik und Schweizer Wirtschaft Politique monétaire et économie suisse Wortlaut der Interpellation vom 29. November 1994 Das Verhältnis des Schweizerfrankens zu den wichtigsten Währungen hat sich in den vergangenen Monaten drastisch verändert Die Folgen sind der Wirtschaft klargeworden: Wäh- rend die Importe wohl verbilligt werden, verteuern sich aber andererseits die Exporte. Als exportorientiertes Land haben</w:t>
      </w:r>
    </w:p>
    <w:p>
      <w:r>
        <w:t>Schweizerisches Bundesarchiv, Digitale Amtsdruckschriften Archives fédérales suisses, Publications officielles numérisées Archivio federale svizzero, Pubblicazioni ufficiali digitali Interpellation Camponovo MWSt auf Inlandflügen mit internationalem Anschluss Interpellation Camponovo Lignes intérieures reliées au réseau aérien international. TVA Interpellanza Camponovo IVA su voli nazionali con allacciamenti internazionali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17 Séance Seduta Geschäftsnummer 94.3390 Numéro d'objet Numero dell'oggetto Datum 24.03.1995 - 08:00 Date Data Seite 972-972 Page Pagina Ref. No 20 025 532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