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94.3341 vom 4. Oktober 1994</w:t>
      </w:r>
    </w:p>
    <w:p>
      <w:r>
        <w:t>Bundesverwaltung, 1994-10-04, DE</w:t>
      </w:r>
    </w:p>
    <w:p>
      <w:r>
        <w:rPr>
          <w:b/>
        </w:rPr>
        <w:t xml:space="preserve">Quelle: </w:t>
      </w:r>
      <w:r>
        <w:t>https://mcp.opencaselaw.ch/entscheid/ch_vb_94.3341</w:t>
      </w:r>
    </w:p>
    <w:p>
      <w:r>
        <w:t>FR: CH_VB 94.3341 du 4 octobre 1994</w:t>
      </w:r>
    </w:p>
    <w:p>
      <w:r>
        <w:t>IT: CH_VB 94.3341 del 4 ottobre 1994</w:t>
      </w:r>
    </w:p>
    <w:p>
      <w:pPr>
        <w:pStyle w:val="Heading2"/>
      </w:pPr>
      <w:r>
        <w:t>Erwägungen</w:t>
      </w:r>
    </w:p>
    <w:p>
      <w:r>
        <w:rPr>
          <w:b/>
        </w:rPr>
        <w:t>E. 4</w:t>
      </w:r>
    </w:p>
    <w:p>
      <w:r>
        <w:t>Welche Massnahmen sind beabsichtigt, um gefährdete Ju- gendliche, Neueinsteiger und Neueinsteigerinnen vor dem Einstieg in die Drogensucht zu bewahren? Ist der Bundesrat bereit, im Falle des Versagens einfacher Massnahmen (wie Meldung an Eltern, Gemeinde usw.) die gesetzlichen Grundla- gen zu schaffen, dass jugendliche Einsteiger und Einsteigerin- nen auch zwangsweise einer falls notwendig länger dauern- den Therapie zugeführt werden können, welche auch Schule und berufliche Ausbildung berücksichtigt.</w:t>
      </w:r>
    </w:p>
    <w:p>
      <w:r>
        <w:rPr>
          <w:b/>
        </w:rPr>
        <w:t>E. 5</w:t>
      </w:r>
    </w:p>
    <w:p>
      <w:r>
        <w:t>Was gedenkt der Bundesrat zu tun, damit Kantone und Ge- meinden, aus denen sich Süchtige auf dem Letten oder in an- deren Drogenszenen befinden, gezwungen werden können, diese entweder zurückzunehmen oder dem betreuenden Ort die entstandenen Kosten voll zu ersetzen?</w:t>
      </w:r>
    </w:p>
    <w:p>
      <w:r>
        <w:rPr>
          <w:b/>
        </w:rPr>
        <w:t>E. 6</w:t>
      </w:r>
    </w:p>
    <w:p>
      <w:r>
        <w:t>Ist der Bundesrat bereit, die zusätzlich bewilligten Versu- che der kontrollierten Drogenabgabe auf alle teilnahmewilli- gen Kantone zu verteilen? Ist er breit, diese finanziell zu unterstützen?</w:t>
      </w:r>
    </w:p>
    <w:p>
      <w:r>
        <w:rPr>
          <w:b/>
        </w:rPr>
        <w:t>E. 7</w:t>
      </w:r>
    </w:p>
    <w:p>
      <w:r>
        <w:t>Welche Mittel setzt der Bundesrat gegen die Drogenkrimi- nalität heute ein? Genügen die Instrumente des Staatsschut- zes und des Nachrichtendienstes für diese Aufgabe?</w:t>
      </w:r>
    </w:p>
    <w:p>
      <w:r>
        <w:rPr>
          <w:b/>
        </w:rPr>
        <w:t>E. 8</w:t>
      </w:r>
    </w:p>
    <w:p>
      <w:r>
        <w:t>Il y a eu lieu de relever d'emblée que, pour lutter contre la cri- minalité liée à la drogue, les dispositions du droit pénal, no- tamment celles de la LStup, sont applicables en premier lieu. Il appartient aux cantons de les appliquer de manière rigou- reuse. De l'avis du Conseil fédéral, la loi fédérale sur les mesu- res de contrainte en matière de droit des étrangers, loi adoptée par les Chambres, contient toutes les dispositions propres à sanctionner les abus commis par des étrangers sans droit de résidence en Suisse, qui fréquentent la «scène ouverte de la drogue», sans toutefois tomber sous le coup de sanctions pé- nales. #ST# 94.3342 Dringliche Interpellation der sozialdemokratischen Fraktion Fragen zur Drogenpolitik Interpellation urgente du groupe socialiste Questions concernant la politique en matière de drogue Wortlaut der Interpellation vom 20. September 1994 1. Teilt der Bundesrat die Auffassung, dass die Drogenprohibi- tionspolitik der letzten Jahrzehnte gemessen am Ziel der Ver- hinderung der individuai- und sozialschädigenden Wirkungen des Drogenkonsums heute als gescheitert betrachtet werden muss? Und dass insbesondere die Teilrevision des Betäu- bungsmittelgesetzes vom 20. März 1975 (mit der der Drogen- konsum als strafbar erklärt und die Höchststrafe für Verstösse gegen das Gesetz von fünf auf zwanzig Jahre - analog zu Tö- tungsdelikten - erhöht worden waren) die Probleme verschärft und nicht gelöst hat? 2. Ist der Bundesrat nicht auch der Meinung, dass das Betäu- bungsmittelgesetz aufgrund der Erfahrungen, aber auch der gewandelten Auffassungen revidiert werden muss, nachdem inzwischen auch kantonale Standesinitiativen (vgl. die Stan- desinitiative Solothurn vom 7. Dezember 1992) die Legalisie- rung des Konsums und die Errichtung eines Betäubungsmit- telmonopols verlangen? Wie beurteilt der Bundesrat den Zeit- bedarf für die Vorbereitung einer Gesetzesrevision? Welche Punkte soll diese aus Sicht des Bundesrates umfassen? 3. Wie viele Menschen befinden sich in der Schweiz in Metha- donprogrammen, bzw. wie vielen Menschen wird ärztlich kon- trolliert Methadon abgegeben? 4. Wie bewertet der Bundesrat die bisherigen Erfahrungen mit den Versuchen der ärztlich kontrollierten Heroinabgabe für Schwerabhängige? Trifft es zu, dass sich die soziale Integra- tion, aber auch die Gesundheit der Betroffenen stark verbes- sert haben? 5. Ist der Bundesrat bereit, im Sinne einer Sofortmassnahme die Versuche mit der ärztlichen kontrollierten Abgabe, insbe- sondere von Heroin, für Schwerabhängige im Rahmen der Überlebenshilfe auf dem Verordnungswege auszuweiten? Wie beurteilt der Bundesrat die für die Durchführung dieser Programme erforderlichen Institutionen? Wie die Kooperation der Kantone mit Blick auf die Notwendigkeit dezentraler Ver- sorgung? Ist er bereit, diese Kooperation und den Aufbau der für eine dezentrale Versorgung und Betreuung erforderlichen Institutionen zu fördern (auch finanziell)? 6. Die Zentralstelle Rauschgift des BAP schätzt den mutmass- lichen schweizerischen Jahresumsatz im Bereich der illegalen Drogen offenbar auf weit über 2 Milliarden Franken - selbst- verständlich unversteuert Wie beurteilt der Bundesrat die Grössenordnung der Inlandnachfrage und des Drogenmark- tes Schweiz? 7. Wie beurteilt der Bundesrat die Kosten der Drogenprohibi- tion in der Schweiz? Wie viele Gefängnisplätze (und welcher Anteil der überhaupt bestehenden Gefängnisplätze) sind durch Drogendelinquentinnen und -delinquenten belegt?</w:t>
      </w:r>
    </w:p>
    <w:p>
      <w:r>
        <w:t>Schweizerisches Bundesarchiv, Digitale Amtsdruckschriften Archives fédérales suisses, Publications officielles numérisées Archivio federale svizzero, Pubblicazioni ufficiali digitali Dringliche Interpellation der christlichdemokratischen Fraktion Sofortmassnahmen in der Drogenpolitik Interpellation urgente du groupe démocrate-chrétien Politique en matière de drogue. Mesures immédiates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w:t>
      </w:r>
    </w:p>
    <w:p>
      <w:r>
        <w:rPr>
          <w:b/>
        </w:rPr>
        <w:t>E. 12</w:t>
      </w:r>
    </w:p>
    <w:p>
      <w:r>
        <w:t>Séance Seduta Geschäftsnummer 94.3341 Numéro d'objet Numero dell'oggetto Datum 04.10.1994 - 08:00 Date Data Seite 1683-1685 Page Pagina Ref. No 20 024 495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