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94.3333 vom 16. Dezember 1994</w:t>
      </w:r>
    </w:p>
    <w:p>
      <w:r>
        <w:t>Bundesverwaltung, 1994-12-16, DE</w:t>
      </w:r>
    </w:p>
    <w:p>
      <w:r>
        <w:rPr>
          <w:b/>
        </w:rPr>
        <w:t xml:space="preserve">Quelle: </w:t>
      </w:r>
      <w:r>
        <w:t>https://mcp.opencaselaw.ch/entscheid/ch_vb_94.3333</w:t>
      </w:r>
    </w:p>
    <w:p>
      <w:r>
        <w:t>FR: CH_VB 94.3333 du 16 décembre 1994</w:t>
      </w:r>
    </w:p>
    <w:p>
      <w:r>
        <w:t>IT: CH_VB 94.3333 del 16 dicembre 1994</w:t>
      </w:r>
    </w:p>
    <w:p>
      <w:pPr>
        <w:pStyle w:val="Heading2"/>
      </w:pPr>
      <w:r>
        <w:t>Erwägungen</w:t>
      </w:r>
    </w:p>
    <w:p>
      <w:r>
        <w:rPr>
          <w:b/>
        </w:rPr>
        <w:t>E. 16</w:t>
      </w:r>
    </w:p>
    <w:p>
      <w:r>
        <w:t>décembre 1994 chen Heckträgern zwangsläufig Vorschriften der Strassenver- kehrsgesetzgebung verletzt werden. In den meisten Fällen wird nicht nur das hintere Kontrollschild teilweise oder ganz, sondern werden auch die Rücklichter (Richtungsblinker und Stopplichter) verdeckt An Motorfahrzeugen müssen das Kontrollschild und die Heck- lichter jederzeit sichtbar sein. Ein seitlicher Überhang, welcher bei dieser Art des Fahrradtransportes meistens besteht, kann im Sinne der Verkehrssicherheit nicht toleriert werden. Schrittliche Stellungnahme des Bundesrates vom 16. November 1994 Rapport écrit du Conseil fédéral du 16 novembre 1994 Die Verwendung von Heckfahrradträgern an Personenwagen ist nur gestattet, wenn die Verkehrs- und Betriebssicherheit des Fahrzeugs weiterhin gewährleistet ist Dabei sind insbe- sondere die folgenden Vorschriften, deren Überwachung den kantonalen Behörden (Polizei) obliegt, zu berücksichtigen: - Nach Artikel 22 Absatz 6 der Verordnung vom 27. August 1969 über Bau und Ausrüstung der Strassenfahrzeuge (BAV; RS 741.41) dürfen Gepäckträger und dergleichen, also auch Fahrradtransport-Gestelle (zusammen mit der darauf befindli- chen Ladung), das Kontrollschild nicht verdecken und die Ausstrahlungswinkel der Beleuchtungsvorrichtungen des Mo- torwagens nicht einschränken. - Ausserdem darf die Ladung (inkl. der erwähnten Träger) das Fahrzeug seitlich nicht überragen (Art 73 Abs. 2derVerkehrs- regelnverordnung vom 13. November 1962, VRV; SR741.11). Die massgebliche Fahrzeugbreite wird dabei durch die äus- sersten fest mit dem Fahrzeug verbundenen Teile, jedoch ohne Richtungsblinker, Markier- und Parklichter, Rückspiegel usw., bestimmt - Die Ladung ist so anzubringen, dass sie niemanden gefähr- det oder belästigt und nicht herunterfallen kann (Art. 30 Abs. 2 des Bundesgesetzes vom 19. Dezember 1958 über den Stras- senverkehr, SVG; SR741.01). - Der Fahrzeugführer ist dafür verantwortlich, dass Fahrzeug und Ladung in vorschriftsgemässem Zustand sind (Art 57 Abs. 1 VRV). Im Ausland sind solche Vorrichtungen unter gewissen Vor- aussetzungen ebenfalls zugelassen. Aufgrund der internatio- nalen Abkommen über den Strassenverkehr können Vorrich- tungen-wie z. B. Fahrradträger-an ausländischen Fahrzeu- gen, die aufgrund der Bau- und Ausrüstungsvorschriften im Immatrikulationsland zulässig sind, nicht beanstandet wer- den, wenn die Vorschriften der VRV über das Anbringen der Ladung und das seitliche Überragen eingehalten sind. Ein na- tionales Verbot hätte deshalb zur Folge, dass nur die in der Schweiz zugelassenen Fahrzeuge nicht mehr mit Fahrradträ- gern ausgerüstet werden dürften. Die Gleichbehandlung in- und ausländischer Fahrzeugführer wäre durch ein generelles «Heckfahrradträger-Verbot» nicht mehr gewährleistet. Es besteht damit kein Anlass, Vorschriften zu erlassen, welche die Verwendung von Heckfahrradträgern generell verbieten. Schriftliche Erklärung des Bundesrates Déclaration écrite du Conseil fédéral Der Bundesrat beantragt, die Motion abzulehnen. Abgelehnt-Rejeté #ST# 94.3469 Motion Dettling Änderung von Artikel 371 des Obligationenrechts Modification de l'article 371 du Code des obligations Wortlaut der Motion vom 7. Oktober 1994 Die in Artikel 371 OR vorgesehenen unterschiedlichen Verjäh- rungsfristen seien in der Weise aufeinander abzustimmen, dass bei Einbauten oder Lieferungen von Sachen für unbe- wegliche Bauwerke von Gesetzes wegen einheitlich eine fünf- jährige Verjährungsfrist gilt. Texte de la motion du 7 octobre 1994 Je demande que le délai de prescription prévu à l'article 371 CO et s'appliquant aux installations et aux livraisons de cho- ses destinées à des constructions immobilières soit porté à cinq ans pour qu'il soit identique à l'autre délai de prescription prévu dans le même article. Mitunterzeichner - Cosignataires: Baumberger, Bezzola, Cor- naz, Fischer-Hägglingen, Früh, Giger, Gysin, Hegetschweiler, Müller, Reimann Maximilian, Stamm Luzi, Steiner Rudolf (12) Schriftliche Begründung - Développement par écrit Artikel 371 Absatz 2 OR bestimmt, dass allfällige Mängelan- sprüche des Bestellers eines unbeweglichen Bauwerkes ge- gen den Unternehmer, den Architekten oder den Ingenieur fünf Jahre nach Abnahme des Werkes verjähren. In einem neuesten Urteil des Bundesgerichtes, vom 22. Februar 1994, anerkennt das Bundesgericht zwar, dass seine konstante Aus- legung dieser massgeblichen Bestimmung in der Praxis für jene Unternehmer unbefriedigend sein kann, die im Verlaufe dieser fünf Jahre zur Kasse gebeten werden. Diese können nämlich von Gesetzes wegen nicht auf Unterakkordanten zu- rückgreifen, die ihren Beitrag ans Werk nicht selber in dieses eingebaut haben und deshalb bereits nach einjähriger Frist nicht mehr belangbar sind. Diese fallen unter die allgemeinere Regel von Artikel 371 Absatz 1 OR, wonach die Ansprüche des Bestellers wegen Mängel des Werkes gleich den entsprechen- den Ansprüchen des Käufers nach einem Jahr verjähren. Trotz dieser unbefriedigenden Situation hat es das Bundesgericht abgelehnt, seine Praxis zu ändern. Vielmehr sei es Sache des Gesetzgebers, eine Angleichung der heute unbefriedigenden Verjährungsfristen festzuschreiben. Ich ersuche den Bundesrat daher, dem Parlament baldmög- lichst eine Vorlage zur Änderung des schweizerischen Obliga- tionenrechts im Sinne meiner Motion zu unterbreiten. Schriftliche Stellungnahme des Bundesrates vom 23. November 1994 Rapport écrit du Conseil fédéral du 23 novembre 1994 Die Haftung des Unternehmers, Architekten und Ingenieurs für Arbeiten an einem unbeweglichen Bauwerk verjährt fünf Jahre nach Abnahme des Werkes (Art. 371 Abs. 2 OR); die Haftung des Unternehmers, der Sachen für ein unbewegli- ches Bauwerk herstellt oder bearbeitet (Unterakkordant), ver- jährt hingegen bereits nach einem Jahr (Art. 371 Abs. 1 ÓR). Dies bewirkt, dass der Unternehmer, Architekt oder Ingenieur, der vom Bauherrn nach mehr als einem Jahr seit Abnahme des Werkes belangt wird, keinen Rückgriff mehr auf den Unter- akkordanten nehmen kann, da sein Anspruch diesem gegen- über verjährt ist Diese Rechtslage, die in der Literatur beanstandet worden ist, vermag nicht völlig zu befriedigen, so dass das Anliegen des Motionärs grundsätzlich als vertretbar zu erachten ist.</w:t>
      </w:r>
    </w:p>
    <w:p>
      <w:r>
        <w:t>Schweizerisches Bundesarchiv, Digitale Amtsdruckschriften Archives fédérales suisses, Publications officielles numérisées Archivio federale svizzero, Pubblicazioni ufficiali digitali Motion Bischof Heckfahrradträger. Verbot Motion Bischof Porte-bicyclette à l'arrière des véhicules. Interdiction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94.3333 Numéro d'objet Numero dell'oggetto Datum 16.12.1994 - 08:00 Date Data Seite 2463-2464 Page Pagina Ref. No</w:t>
      </w:r>
    </w:p>
    <w:p>
      <w:r>
        <w:rPr>
          <w:b/>
        </w:rPr>
        <w:t>E. 20</w:t>
      </w:r>
    </w:p>
    <w:p>
      <w:r>
        <w:t>024 950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