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94.3326 vom 16. Dezember 1994</w:t>
      </w:r>
    </w:p>
    <w:p>
      <w:r>
        <w:t>Bundesverwaltung, 1994-12-16, DE</w:t>
      </w:r>
    </w:p>
    <w:p>
      <w:r>
        <w:rPr>
          <w:b/>
        </w:rPr>
        <w:t xml:space="preserve">Quelle: </w:t>
      </w:r>
      <w:r>
        <w:t>https://mcp.opencaselaw.ch/entscheid/ch_vb_94.3326</w:t>
      </w:r>
    </w:p>
    <w:p>
      <w:r>
        <w:t>FR: CH_VB 94.3326 du 16 décembre 1994</w:t>
      </w:r>
    </w:p>
    <w:p>
      <w:r>
        <w:t>IT: CH_VB 94.3326 del 16 dicembre 1994</w:t>
      </w:r>
    </w:p>
    <w:p>
      <w:pPr>
        <w:pStyle w:val="Heading2"/>
      </w:pPr>
      <w:r>
        <w:t>Erwägungen</w:t>
      </w:r>
    </w:p>
    <w:p>
      <w:r>
        <w:rPr>
          <w:b/>
        </w:rPr>
        <w:t>E. 16</w:t>
      </w:r>
    </w:p>
    <w:p>
      <w:r>
        <w:t>décembre 1994 rie et la façon d'obtenir une meilleure transparence dans leur gestion, sans oublier le problème de la redistribution des pro- fits. Cette révision totale ne peut se faire qu'à la lumière des nouvelles dispositions de la nouvelle loi sur les casinos. Il y a donc lieu d'attendre l'entrée en vigueur de ce texte législatif. Erklärung des Interpellanten: befriedigt Déclaration de l'interpellateur: satisfait #ST# 94.3421 Interpellation Leuba Diskriminierung aufgrund religiöser Kriterien Discrimination fondée sur des critères religieux Wortlaut der Interpellation vom 6. Oktober 1994 Gestützt auf Artikel 22ter des Geschäftsverkehrsgesetzes stelle ich dem Bundesrat folgende Fragen: 1. Anerkennt der Bundesrat, dass Artikel 50 Absatz 4 der Bun- desverfassung, welcher Religionsgemeinschaften mit Bis- tumsstruktur diskriminiert, mit dem Verbot jeglicher Diskrimi- nierung aufgrund der Religionszugehörigkeit unvereinbar ist? 2. Wenn nicht, wie rechtfertigt der Bundesrat die Tatsache, dass nur Religionsgemeinschaften mit Bistumsstruktur eine Genehmigung des Bundes benötigen? 3. Ist der Bundesrat bereit, die Abschaffung von Artikel 50 Ab- satz 4 der Bundesverfassung zu beantragen, damit sich die Schweiz nicht einer Verletzung des Internationalen Überein- kommens zur Beseitigung jeder Form von Rassendiskriminie- rung schuldig macht? Texte de l'interpellation du 6 octobre 1994 Me fondant sur l'article 22ter de la loi sur les rapports entre les Conseils, je désire poser au Conseil fédéral les questions suivantes: 1. Le Conseil fédéral admet-il que l'article 50 alinéa 4 de la Constitution fédérale, qui discrimine les groupes religieux à structure episcopale, est incompatible avec l'interdiction de toute discrimination fondée sur l'appartenance religieuse? 2. Si non, comment justifie-t-il que seuls les groupes religieux à structure episcopale aient besoin de l'approbation de la Confédération? 3. Le Conseil fédéral est-il prêt à proposer l'abrogation de l'article 50 alinéa 4 de la Constitution fédérale pour éviter à la Suisse une violation de la Convention internationale sur l'élimi- nation de toutes les formes de discrimination raciale? Mitunterzeichner - Cosignataires: Eggly, Eymann Christoph, Friderici Charles, Graber, Gros Jean-Michel, Narbel, Poncet, Sandoz, Scheurer Rémy (9) Schriftliche Begründung-Développement par écrit La Convention internationale sur l'élimination de toutes les for- mes de discrimination raciale, du 21 décembre 1965, a été ap- prouvée par les Chambres fédérales le 18 juin 1993 et par le peuple, le 25 septembre 1994. Cette convention exige, à son article 4, des mesures pénales. Le Conseil fédéral a donc proposé un article 261 bis nouveau du Code pénal suisse, et un article 171 a nouveau du Code pé- nal militaire, qui réprime toute manifestation, voire même cer- taines expressions de discrimination raciale. Dans son mes- sage à l'appui du nouvel article 261 bis du Code pénal suisse (et 171 du Code pénal militaire) le Conseil fédéral considère que (FF 1992 III, 306) «le critère de l'appartenance religieuse ne sort pas du cadre d'une répression pénale de la discrimina- tion raciale». Peut-être le Conseil fédéral visait-il ici la discrimination de reli- gions «exotiques». Mais on doit alors se demander si la Suisse ne devrait pas d'abord mettre de l'ordre dans sa propre mai- son à l'égard d'un groupe religieux auquel appartiennent ac- tuellement le plus grand nombre de personnes résidant sur son territoire. En effet, que l'on suive la théorie d'Aubert (Traité de droit cons- titutionnel suisse, N° 2064) et de Cavelti (Die Praxis zum Bis- tumsartikel der Bundesverfassung, ZB11980, p 61), selon la- quelle l'article 50 alinéa 4 de la Constitution fédérale s'appli- que à toutes les religions qui ont un système épiscopal, ou celle de Favre, (Droit constitutionnel suisse, 2e éd., p 290) ou de Gardaz (Organisation ecclésiastique cantonale et droit fé- déral, thèse 1973, p. 89) selon laquelle seule est visée l'Eglise catholique romaine, il est indiscutable qu'il y a discrimination par l'autorité étatique dans la mesure où les autres commu- nautés religieuses peuvent s'organiser territorialement comme elles l'entendent (autrement dit, sans autorisation de la Confédération) alors que les églises à structure episcopale sont soumises à cette autorisation. Il est choquant, au sens de la convention, et d'ailleurs pour tout esprit libéral, que les mu- sulmans ou les shintoïstes puissent s'organiser en Suisse comme ils l'entendent, alors que ce droit est soumis à une au- torisation de l'Etat s'agissant des catholiques romains. Au surplus, l'article 50 alinéa 4 de la Constitution fédérale est susceptible de mettre le Conseil fédéral dans une situation in- confortable: ou bien il est obligé d'accorder son autorisation à la création éventuelle d'un nouvel évêché, et cette obligation est indigne d'un gouvernement souverain, ou bien il peut la re- fuser et risque de s'exposer aux sanctions de l'article 261 bis nouveau du Code pénal suisse qu'il a lui-même proposél En dehors de toute considération juridique, il apparaît évident que l'article 50 alinéa 4 de la Constitution fédérale est un ré- sidu du Kulturkampf et qu'il ne correspond absolument plus à l'esprit de notre temps qui ne place plus les relations entre l'Etat et les Eglises sur un plan de subordination. Sans doute, l'Etat a-t-il le droit, et même le devoir, qu'il n'accomplit pas tou- jours, d'exiger des Eglises et de leurs membres le respect de la loi civile; il n'a, en revanche, pas à imposer aux groupes reli- gieux leur organisation ecclésiastique, même sous la forme at- ténuée de l'autorisation ou de la ratification. Schriftliche Stellungnahme des Bundesrates vom 23. November 1994 Rapport écrit du Conseil fédéral du 23 novembre 1994 1. A son article 1er paragraphe 1er, la Convention internatio- nale de 1965 sur l'élimination de toutes les formes de discrimi- nation raciale englobe dans la notion de «discrimination ra- ciale» toute distinction, exclusion, restriction ou préférence fondée sur la race, la couleur, l'ascendance ou l'origine natio- nale ou ethnique. Les motifs de distinction illicites visés par la convention ne se limitent donc pas à des signes distinctifs physiques. Ainsi, la notion d'«ascendance» fait référence à l'appartenance sociale, tandis que les critères d'«origine natio- nale ou ethnique» ajoutent des composantes linguistiques, culturelles et historiques à la notion de race. Pour les sociolo- gues, la race se définit comme un groupe de personnes qui se considère lui-même comme différent des autres groupes ou qui est considéré comme tel par ceux-ci, sur la base de carac- tères distinctifs innés et immuables (FF 1992III 305). Le critère de la religion peut être à l'origine d'une discrimina- tion raciale. Il arrive en effet fréquemment qu'un groupe ethni- que soit désigné par son appartenance religieuse. A l'origine, le critère de la religion devait d'ailleurs figurer dans la définition donnée par la convention (FF 1992III 306). Il figure, en tous les cas dans une recommandation du Conseil de l'Europe (Re- commandation N° 453 1966) qui a inspiré la législation de nombreux Etats européens, de même que le nouvel article 261 bis du Code pénal suisse. Toute distinction fondée sur l'appartenance religieuse entre groupes d'êtres humains ne constitue cependant pas une discrimination raciale. Les articles confessionnels, dont fait partie l'article 50 de la Constitution fédérale, ont été adoptés dans le contexte d'into- lérance religieuse du Kulturkampf. Il en résulta quelques dis-</w:t>
      </w:r>
    </w:p>
    <w:p>
      <w:r>
        <w:t>Schweizerisches Bundesarchiv, Digitale Amtsdruckschriften Archives fédérales suisses, Publications officielles numérisées Archivio federale svizzero, Pubblicazioni ufficiali digitali Interpellation Zisyadis Lotterien. Kontrollinstanz Interpellation Zisyadis Loteries. Organe de contrôle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94.3326 Numéro d'objet Numero dell'oggetto Datum 16.12.1994 - 08:00 Date Data Seite 2487-2488 Page Pagina Ref. No</w:t>
      </w:r>
    </w:p>
    <w:p>
      <w:r>
        <w:rPr>
          <w:b/>
        </w:rPr>
        <w:t>E. 20</w:t>
      </w:r>
    </w:p>
    <w:p>
      <w:r>
        <w:t>024 982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