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94.3307 vom 13. März 1995</w:t>
      </w:r>
    </w:p>
    <w:p>
      <w:r>
        <w:t>Bundesverwaltung, 1995-03-13, DE</w:t>
      </w:r>
    </w:p>
    <w:p>
      <w:r>
        <w:rPr>
          <w:b/>
        </w:rPr>
        <w:t xml:space="preserve">Quelle: </w:t>
      </w:r>
      <w:r>
        <w:t>https://mcp.opencaselaw.ch/entscheid/ch_vb_94.3307</w:t>
      </w:r>
    </w:p>
    <w:p>
      <w:r>
        <w:t>FR: CH_VB 94.3307 du 13 mars 1995</w:t>
      </w:r>
    </w:p>
    <w:p>
      <w:r>
        <w:t>IT: CH_VB 94.3307 del 13 marzo 1995</w:t>
      </w:r>
    </w:p>
    <w:p>
      <w:pPr>
        <w:pStyle w:val="Heading2"/>
      </w:pPr>
      <w:r>
        <w:t>Erwägungen</w:t>
      </w:r>
    </w:p>
    <w:p>
      <w:r>
        <w:rPr>
          <w:b/>
        </w:rPr>
        <w:t>E. 13</w:t>
      </w:r>
    </w:p>
    <w:p>
      <w:r>
        <w:t>mars 1995 Zentrumslasten der Städte indirekt als neuen Parameter des Finanzausgleichs zwischen den Kantonen berücksichtigen? Das möchte ich wissen. Dann werde ich Ihnen meine Haltung empfehlen. Stich Otto, Bundesrat: Sie wissen, wir haben verschiedene Ar- beitsgruppen eingesetzt, die sich mit dem Finanzausgleich beschäftigen. Hier geht es nicht nur um den vertikalen, son- dern auch um den horizontalen Finanzausgleich. Es ist uns natürlich auch bekannt, dass die Städte Zentrumslasten zu tra- gen haben, die niemand abgelten will. Grundsätzlich, das müssen wir sagen, sind nicht die Städte oder Gemeinden An- sprechpartner des Bundes, sondern die Kantone. Aber wir sind davon überzeugt, dass man mit den Städten, mit den Ag- glomerationsgemeinden hier versuchen muss, auch inter- kommunalen, innerkantonalen und interkantonalen Finanz- ausgleich zu schaffen, sonst kann man diese Probleme nicht lösen. Sie können überzeugt sein, dass uns das Problem der Städte durchaus bekannt ist, aber hier im Finanzausgleich sind wir natürlich darauf angewiesen, dass wir mit den Kanto- nen eine Lösung finden; das ist das Hauptproblem. Wir kön- nen nicht Finanzausgleich gegen die Kantone machen. Wir werden uns Mühe geben, zu einem sinnvollen Finanzaus- gleich zu kommen. Deshalb bitte ich Sie, die Motion in ein Postulat umzuwandeln. Strahm Rudolf (S, BE): Ich danke Herrn Bundesrat Stich für die Antwort Ich habe genau zugehört und aus der Antwort ent- nommen, dass nicht nur der innerkantonale, sondern auch der interkantonale Finanzausgleich diese Zentrumslasten be- rücksichtigen soll. In diesem Sinne bin ich zufrieden. Mir ist bewusst, dass die Kantone natürlich auch eine Pièce de rési- stance darstellen, aber ich sehe - und dafür möchte ich Herrn Bundesrat Stich danken -, dass der Besuch des Schweizeri- schen Städteverbandes, auch die Intervention der Städte, auf fruchtbaren Boden gefallen sind. In diesem Sinn und auch im Sinn der Erklärung des Bundesra- tes möchte ich meine Motion in ein Postulat umwandeln. Ich bin nach dieser Antwort zuversichtlich, dass das Problem er- kannt worden und etwas ins Rollen gekommen ist Ich bitte Sie, diesen Vorstoss als Postulat zu überweisen. Überwiesen als Postulat- Transmis comme postulat #ST# 94.3442 Interpellation Spoerry Finanzausgleich Péréquation financière Diskussion - Discussion Siehe Jahrgang 1994, Seite 2527-Voir année 1994, page 2527 Spoerry Vreni (R, ZH): Die Revision des Finanzausgleichs ist eine der zentralen Massnahmen im Rahmen der strukturellen Verbesserungen, welche wir im Bundeshaushalt vornehmen müssen. Der Bundesrat hat dies mehrfach bestätigt und fest- gestellt, dass dringender Handlungsbedarf bestehe. Die Infor- mationen über den Ablauf und die Auswirkungen der eingelei- teten Massnahmen waren aber bislang - auch zuhanden des Parlamentes - eher spärlich. Ich danke daher dem Bundesrat für die Beantwortung der Fragen. Sie zeigt nach meinem Da- fürhalten die Ernsthaftigkeit auf, mit welcher dieses Thema an- gegangen wird. Der vorgesehene Zeitplan ist ambitiös. Ich möchte aber den Bundesrat bitten, hier hart zu bleiben, denn ich glaube, dass es sich um ein schwieriges Thema handelt, wo viele Ablen- kungsmöglichkeiten bestehen. Deshalb ist es wichtig, dass ein straffer Zeitplan durchgehalten wird, denn wir sind uns ei- nig: Die Revision ist nötig, und zwar auch - aber nicht nur - wegen des Zustandes der Bundesfinanzen. Auch ohne Milliar- dendefizite können wir es nicht zulassen, dass ein so grosser öffentlicher Mittelfluss ineffizient eingesetzt wird. Gegenwärtig ist es so, dass der Druck der Defizite die Notwendigkeit ver- stärkt, diese strukturelle Massnahme in Angriff zu nehmen. Die dadurch möglichen Einsparungen sind mit Bezug auf die Bun- desfinanzen ein willkommener Nebeneffekt Aber das Haupt- ziel muss klar die strukturelle Bereinigung sein. Bei der Antwort auf die Frage 2 zählt der Bundesrat die Schwerpunkte der Revision auf, welche gestützt auf die strate- gischen Ziele in verschiedenen Arbeitsgruppen behandelt werden sollen. Die strategischen Ziele aber selbst, auf denen der Finanzausgleich aufbaut, werden nirgends in der Antwort exakt umschrieben. Ich möchte daher fragen, ob ich richtig gehe in der Annahme, dass diese strategischen Ziele drei Gesichtspunkte beachten müssen: 1. Allokationseffizienz: Das will sagen, dass die Aufgabentei- lung und das Transfersystem gewährleisten müssen, dass die tatsächlich gewünschten öffentlichen Leistungen unter einem optimalen Einsatz der Steuermittel erbracht werden. 2. Kosteneffizienz: Die subventionierten Leistungen sollen mit möglichst geringen Kosten erbracht werden. 3. Umverteilungseffizienz: Die Disparitäten zwischen den Kan- tonen sollen dank des Finanzausgleichs in Zukunft zielgerich- teter abgebaut werden können. Es sind diese Punkte, welche alle Experten und Untersuchun- gen als Schwachstellen des Finanzausgleichs festhalten, die ausgemerzt werden müssen. Gelingt es uns, diese drei Gesichtspunkte zu beachten, wird es Kosteneinsparungen geben. Der Bundesrat will sich ver- ständlicherweise bei der Höhe dieser Einsparungen nicht fest- legen, aber sie müssen beträchtlich sein, steht doch eine Ge- samtsumme von 12 Milliarden Franken zur Diskussion, also mehr als ein Viertel der gesamten Bundesausgaben. Sollen bei der Revision des Finanzausgleichs optimale Resul- tate erzielt werden, wäre es aber aus meiner Sicht verfehlt, von Anfang an von einer «Staatsebenen»-Neutralität bei den Ein- sparungen auszugehen in dem Sinne, dass die Einsparungen gleichmässig auf die verschiedenen Ebenen verteilt werden sollen. Eine solche Vorgabe würde den notwendigen Hand- lungsspielraum viel zu früh einengen. Denn das Hauptziel der Revision muss es ja sein, die Aufgaben stufengerecht zuzutei- len und möglichst viele Anreize zur kostengünstigen Erfüllung zur Verfügung zu stellen. Das kann durch die Zuordnung der entsprechenden Kompetenzen geschehen und/oder auch durch den Abbau von Normen und Standards. Die Frage, auf welcher Ebene dadurch etwas mehr oder weniger Einsparun- gen anfallen, ist zweitrangig. Entscheidend sind der effiziente und wirkungsvolle Einsatz der Mittel und damit der Saldoge- winn für die Volkswirtschaft und die Steuerzahler. Die Saldo- neutralität für die verschiedenen staatlichen Ebenen ist zweit- rangig, denn schliesslich müssen alle öffentlichen Gelder, auf welcher Ebene auch immer, zuerst von den Steuerzahlern auf- gebracht werden. Ich wäre daher froh, von Herrn Bundesrat Stich zu hören, wel- che strategischen Ziele aus seiner Sicht der Reform zugrunde gelegt werden müssen, und bestätigt zu erhalten, dass nicht zu früh einschränkende Vorgaben mit Bezug auf die Verteilung der Kosteneinsparungen gemacht werden. Im übrigen verdanke ich die Ausführungen in der Stellung- nahme des Bundesrates und wünsche für die anspruchsvolle Arbeit bestes Gelingen. Stucky Georg (R, ZG): Mir ist in den Antworten, die der Bun- desrat auf die Interpellation Spoerry gegeben hat, aber auch in der Pressekonferenz, die Sie, Herr Bundesrat, vor vierzehn Ta- gen gehalten haben, aufgefallen, dass nirgends von der Transparenz im Finanzausgleich die Rede ist Das scheint mir aber ein wichtiges Element, weil heutzutage praktisch nie- mand den Finanzausgleich übersieht Er ist derart kompliziert geworden, dass es einfach unmöglich ist, selber einmal rech- nen zu können.</w:t>
      </w:r>
    </w:p>
    <w:p>
      <w:r>
        <w:t>Schweizerisches Bundesarchiv, Digitale Amtsdruckschriften Archives fédérales suisses, Publications officielles numérisées Archivio federale svizzero, Pubblicazioni ufficiali digitali Motion Strahm Rudolf Finanzausgleich. Berücksichtigung der Zentrumslasten der Städte Motion Strahm Rudolf Péréquation financière et centres urbains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94.3307 Numéro d'objet Numero dell'oggetto Datum 13.03.1995 - 14:30 Date Data Seite 572-574 Page Pagina Ref. No 20 025 402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