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94.3280 vom 13. März 1995</w:t>
      </w:r>
    </w:p>
    <w:p>
      <w:r>
        <w:t>Bundesverwaltung, 1995-03-13, DE</w:t>
      </w:r>
    </w:p>
    <w:p>
      <w:r>
        <w:rPr>
          <w:b/>
        </w:rPr>
        <w:t xml:space="preserve">Quelle: </w:t>
      </w:r>
      <w:r>
        <w:t>https://mcp.opencaselaw.ch/entscheid/ch_vb_94.3280</w:t>
      </w:r>
    </w:p>
    <w:p>
      <w:r>
        <w:t>FR: CH_VB 94.3280 du 13 mars 1995</w:t>
      </w:r>
    </w:p>
    <w:p>
      <w:r>
        <w:t>IT: CH_VB 94.3280 del 13 marzo 1995</w:t>
      </w:r>
    </w:p>
    <w:p>
      <w:pPr>
        <w:pStyle w:val="Heading2"/>
      </w:pPr>
      <w:r>
        <w:t>Erwägungen</w:t>
      </w:r>
    </w:p>
    <w:p>
      <w:r>
        <w:rPr>
          <w:b/>
        </w:rPr>
        <w:t>E. 13</w:t>
      </w:r>
    </w:p>
    <w:p>
      <w:r>
        <w:t>mars 1995 der Intelligenz: Man kriegt sie nie mehr weg. Wenn Subventio- nen einmal gesprochen sind - das kennen wir spätestens seit den Diskussionen zum Hotelkredit, welcher nichts anderes war als eine Subvention -, halten sie sich über Jahrzehnte. Da- bei ist es ganz egal, ob der ursprüngliche Zweck der Subven- tion, z. B. eine vorübergehende Unterstützung zum Ingang- setzen von gewissen Prozessen, als Starthilfe sozusagen, noch gegeben ist oder nicht Subventionen kriegen für die Subventionsempfänger sehr bald den Status eines berechtig- ten Besitzstandes, den es zu verteidigen gilt Angesichts der maroden Staatskasse möchten wir nun errei- chen, dass die Subventionen nicht mehr alle sechs Jahre auf ihre Berechtigung hin überprüft werden, wie das bereits heute nach Artikel 5 des Subventionsgesetzes möglich ist, sondern dass sie auf zehn Jahre beschränkt werden und dann automa- tisch auslaufen. Wer mehr will, muss wieder neu Antrag stel- len, und es kommt zu einer entsprechenden Diskussion in die- sem Saal, allenfalls sogar zu einer Volksabstimmung, wenn ein Referendum ergriffen wird. Damit könnte man unnötige und auch unsinnige Subventionen beseitigen und zum Ver- schwinden bringen. Der Bundesrat schreibt zwar in seiner Antwort, dass er im Prin- zip mit dem Ansinnen durchaus einverstanden sei, verweist aber auf Artikel 7 Subventionsgesetz. Dieser ermöglicht es tat- sächlich, in regelmässigen Berichten zu überprüfen, wieweit solche Subventionen noch notwendig sind oder nicht Wenn wir nun trotzdem an der Motion festhalten, so deshalb, Herr Bundesrat, weil wir nicht in Verlegenheit kommen möch- ten, wenn Sie uns beispielsweise am Ende dieses Jahres sa- gen müssen: «Ja, da gibt es eine Menge dieser unnötigen Subventionen, und wir müssten sie jetzt vielleicht beseitigen.» Sie wissen selber besser als ich, wie dann von der Lobby, vom «Club der Subventionsempfänger» bis zu Referenden ge- kämpft wird. Also ist es doch eigentlich eine Unterstützung für Sie, wenn wir für die Motion kämpfen. So hätten Sie für den Fall, dass Ihre Einschätzung zu optimistisch ist - ich fürchte, dass es so herauskommen könnte -, ein taugliches Instru- ment in den Händen. Das möchten wir Ihnen nicht vorzeitig entziehen. Wir bitten Sie, den Vorstoss als Motion zu überweisen und nicht als Postulat, wie es der Bundesrat möchte. Stich Otto, Bundesrat: Frau Grendelmeier hat einen sehr wichtigen Satz gesagt, und zwar gleich zu Beginn. Sie haben gesagt: «Mit den Subventionen ist es so eine Sache.» Das ist richtig! Gerade weil es eine Sache ist mit den Subventionen, frageich mich, ob wir nicht-als wir erklärt haben, Ihre Motion in der Form eines Postulates entgegenzunehmen -zu optimi- stisch gewesen sind. Nicht wegen des Berichtes über die Sub- ventionen, den wir in diesem Jahr erstatten werden. Ich weiss, auch bei diesen Überprüfungen wird es sehr, sehr schwierig sein, auch nur ein wenig zu reduzieren. Dateile ich Ihre Auffas- sung sogar völlig. Aber Sie sind meines Erachtens einer grossen Illusion erle- gen. Wenn nämlich die Subventionen befristet sind und sie nachher wieder neu gesprochen werden müssen, dann be- steht nach meiner Erfahrung die grosse Gefahr, dass man sagt: Ja gut, es ist lang, lang her, seit man diese Subvention gesprochen hat, die Sache ist jetzt viel wichtiger, heute muss man grössere Bundesbeiträge gebenl Das ist das grosse Ri- siko. Wissen Sie, ich kenne das Parlament langsam auch - so ganz langsaml Deshalb bitte ich Sie, die Motion nicht zu überweisen. Als Po- stulat hätten wir sie entgegengenommen, aber als Motion müssen wir den Vorstoss bekämpfen. Abstimmung - Vote Für Überweisung der Motion Dagegen 56 Stimmen 38 Stimmen #ST# 94.3307 Motion Strahm Rudolf Finanzausgleich. Berücksichtigung der Zentrumslasten der Städte Péréquation financière et centres urbains Wortlaut der Motion vom 17. Juni 1994 Der Bundesrat wird gebeten, im Rahmen der Neuordnung des Finanzausgleichs zwischen Bund und Kantonen auch die Ab- geltung von Zentrumslasten der Städte durch die Kantone als Verteilungskriterium zu berücksichtigen. Texte de la motion du 17 juin 1994 Le Conseil fédéral est chargé, dans le cadre de la réorganisa- tion du système de péréquation financière entre la Confédéra- tion et les cantons, de faire figurer parmi les critères de réparti- tion l'indemnisation des villes-centre par les cantons pour les charges qu'elles doivent supporter. Mitunterzeichner - Cosignataires: Bäumlin, Béguelin, Boden- mann, Bonny, Bundi, Carobbio, Danuser, David, Eggenber- ger, Fankhauser, von Feiten, Goll, Haering Binder, Hafner Ur- sula, Hämmerle, Herczog, Jeanprêtre, Ledergerber, Lee- mann, Leuenberger Ernst, Leuenberger Moritz, Loeb Fran- çois, Meyer Theo, Rechsteiner, Ruffy, Seiler Rolf, Steiger Hans, Züger (28) Schriftliche Begründung - Développement par écrit Die bisherigen Einkommensdisparitäten und Finanzkraftun- terschiede zwischen den Regionen werden zunehmend über- lagert durch das strukturelle Finanzkraftgefälle zwischen den Kernstädten und dem Agglomerationsgürtel. Die Kernstädte haben immer mehr Zentrumslasten zu tragen, und gleichzeitig wandern die zahlungskräftigen Steuersubjekte in die umlie- genden Gemeinden ab. Die Städte haben Leistungen zu zah- len, von denen reiche Umliegergemeinden und Kantone nutz- niessen, und sie geraten dadurch in einen fiskalpolitschen Teufelskreis. Im Rahmen der Vorarbeiten für die Neuordnung des Finanz- ausgleichs zwischen Bund und Kantonen wurde es leider un- terlassen, die Zentrumslasten der Städte und die Spill-over- Effekte Stadt/Land vertieft zu überprüfen (Expertise Frey/Spill- mann/Dafflon/Jeanrenaud/Meier: Der Finanzausgleich zwi- schen Bund und Kantonen; 31.03.1994). Es drängt sich auf, dass im Rahmen der Finanzausgleichspro- blematik auch die fiskalischen Disparitäten zwischen den Kernstädten und dem Hinterland angegangen werden. Der Fi- nanzausgleich zugunsten der Städte ist zwar nicht direkte Bundesaufgabe, aber der Bund kann und muss in Zukunft die Zentrumslasten der Grossstädte bei der Bemessung des Fi- nanzausgleichs Bund/Kantone berücksichtigen: Er kann zum Beispiel die Subventionspraxis unter diesem Gesichtspunkt überprüfen. Die Auszahlung der zweckgebundenen Mittel aus der Treibstoffzollkasse (z. B. für Verkehrstrennung, Agglome- rationsverkehr, Lärmschutzmassnahmen, Fassadensanierun- gen usw.) können zugunsten der belasteten Kernstädte modi- fiziert werden. Es drängt sich nun auf, dass nicht nur die regio- nalen Disparitäten, sondern auch diese neuartigen Lasten der Kernstädte in der Schweiz ausgeglichen werden. Wir müssen in der Schweiz eine «Amerikanisierung», d. h. eine Auspowe- rung und Entleerung der Kernstädte mit Abwanderung der Reichen in die Vororte vermeiden, und neue finanzpolitische Ausgleichsmechanismen einsetzen. Mit dem Postulat be- zwecken wir, dass der Bundesrat bei der Neuüberprüfung des Finanzausgleichs Bund/Kantone mögliche Ausgleichsmecha- nismen und -modelle zugunsten der Kernstädte ernsthaft stu- diert und an die Hand nimmt</w:t>
      </w:r>
    </w:p>
    <w:p>
      <w:r>
        <w:t>Schweizerisches Bundesarchiv, Digitale Amtsdruckschriften Archives fédérales suisses, Publications officielles numérisées Archivio federale svizzero, Pubblicazioni ufficiali digitali Motion der LdU/EVP-Fraktion Zeitliche Beschränkung von Subventionen Motion du groupe Adl/PEP Subventions. Durée limitée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94.3280 Numéro d'objet Numero dell'oggetto Datum 13.03.1995 - 14:30 Date Data Seite 570-572 Page Pagina Ref. No 20 025 401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