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94.3177 vom 16. Dezember 1994</w:t>
      </w:r>
    </w:p>
    <w:p>
      <w:r>
        <w:t>Bundesverwaltung, 1994-12-16, DE</w:t>
      </w:r>
    </w:p>
    <w:p>
      <w:r>
        <w:rPr>
          <w:b/>
        </w:rPr>
        <w:t xml:space="preserve">Quelle: </w:t>
      </w:r>
      <w:r>
        <w:t>https://mcp.opencaselaw.ch/entscheid/ch_vb_94.3177</w:t>
      </w:r>
    </w:p>
    <w:p>
      <w:r>
        <w:t>FR: CH_VB 94.3177 du 16 décembre 1994</w:t>
      </w:r>
    </w:p>
    <w:p>
      <w:r>
        <w:t>IT: CH_VB 94.3177 del 16 dicembre 1994</w:t>
      </w:r>
    </w:p>
    <w:p>
      <w:pPr>
        <w:pStyle w:val="Heading2"/>
      </w:pPr>
      <w:r>
        <w:t>Erwägungen</w:t>
      </w:r>
    </w:p>
    <w:p>
      <w:r>
        <w:rPr>
          <w:b/>
        </w:rPr>
        <w:t>E. 16</w:t>
      </w:r>
    </w:p>
    <w:p>
      <w:r>
        <w:t>Dezember 1994 N 2487 Interpellation Zisyadis noch mit Bremsen ausgerüstet seien, durchgeführt würden. Dabei werde oftmals auch die Geschwindigkeit von 30 km/h nicht eingehalten. Solche Anhängerzüge stellten, hauptsäch- lich wegen der relativ leichten Bauart der Zugfahrzeuge und der unzureichenden oder fehlenden Bremsen der Anhänger, ein beträchtliches Sicherheitsrisiko dar. Bei Schadenereignis- sen ergäben sich nicht selten Versicherungsprobleme. Im Kommentar zur Vernehmlassung der VRV wurde ausführ- lich auf die Änderung der Vorschrift über das Mitführen land- wirtschaftlicher Anhänger hingewiesen und die Begründung der VSAfür den Antrag im einzelnen dargelegt. Die Neurege- lung fand denn auch überwiegend Zustimmung. Weder von den Kantonen noch von den 16 begrüssten Bundesstellen tra- fen negative Äusserungen ein, und nur gerade 5 der 89 in die Vernehmlassung einbezogenen Verbände und Organisatio- nen sprachen sich dagegen aus. Alle anderen stimmten der Aufhebung der Ungleichbehandlung von Landwirten und Nichtlandwirten bei der Immatrikulationspflicht für Anhänger zu. Der Bundesrat hatte bei seinem Entscheid dieses eindeutige Resultat der Vernehmlassung zu berücksichtigen. Für etliche Landwirte ergaben sich dadurch aber Schwierigkeiten. In Ge- sprächen mit interessierten Parlamentariern und Vertretern betroffener Verbände bemühte sich das Bundesamt für Poli- zeiwesen, eine Lösung im Bereiche gewisser Anhänger zu fin- den. Neu ist vorgesehen, dass Anhänger, die den heutigen BAV-Vorschriften entsprechen, mit grünem Kontrollschild im- matrikuliert werden können. Diese mit Kontrollschildern aus- gerüsteten Anhänger dürfen nun in Abweichung von Artikel 68 Absatz 4 VRV an allradangetriebenen Zugfahrzeugen (mit ei- ner bauartbedingten Höchstgeschwindigkeit von mehr als 30 km/h) mitgeführt werden. Dabei ist die für landwirtschaftli- che Fahrzeuge zulässige Geschwindigkeit von 30 km/h einzu- halten, und die Gewichtsverhältnisse gemäss Artikel 67 Ab- satz 5 VRV sind anwendbar. Dadurch bringt diese Neurege- lung die angestrebte Verbesserung der Verkehrssicherheit, aber für die Landwirte erträgliche Umrüstungskosten. Es ist vorgesehen, den Strassenverkehrsämtern für die Zulassung der Anhänger eine Frist bis zum 1. Oktober 1995 einzuräu- men. Die weitere Umsetzung erfolgt in engem Kontakt mit den Betroffenen. Erklärung des Interpellanten: teilweise befriedigt Déclaration de l'interpellateur: partiellement satisfait #ST# 94.3326 Interpellation Zisyadis Lotterien. Kontrollinstanz Loteries. Organe de contrôle Wortlaut der Interpellation vom 19. September 1994 Als Folge der Volksabstimmung vom 7. März 1993 über die Aufhebung des Spielbankenverbots wurde Artikel 35 der Bun- desverfassung geändert Es scheint unerlässlich, dass eine zu diesem Zweck eingesetzte Kommission oder eine andere Bundesbehörde den Auftrag erhält, die Konzessionserteilung für Spielbanken, deren Verwaltung sowie deren Erträge zu überwachen. Ich bitte den Bundesrat, zu folgenden Punkten Stellung zu nehmen: 1. Sollte die gleiche Behörde nicht auch Lotterien jeder Art, Pferdewetten, das Sporttoto, usw., die sich immer mehr aus- breiten, überwachen? Man hört sogar, dass multinationale Ge- sellschaften sowie Vereinigungen aller Art auf diese Betriebe Einfluss nehmen. 2. Sollte diese Kontrollinstanz angesichts der beachtlichen Geldsummen, die von diesen Betrieben im Zeichen der Ge- meinnützigkeit umgesetzt werden, nicht auch das bisher völlig freie Ermessen dieser Betriebe in bezug auf die Verteilung der Gewinne an Sportclubs sowie an Künstler und Schriftsteller überwachen? Diese Auswahl und die Geldzuweisungen wer- den anscheinend von wenigen Personen durchgeführt, die durch private oder politische Kooptation gewählt werden und nach eigenem Gutdünken vorgehen können. 3. Ist es dem Bund, der in bezug auf Lotterien gewisse Kompe- tenzen hat (Art 35 Abs. 6 der Bundesverfassung bestimmt, dass der Bund Massnahmen bezüglich Lotterien treffen kann), nicht möglich, auf Strukturen und Methoden dieser Betriebe Einfluss zu nehmen, damit deren Betriebsführung transparen- ter wird? Texfe de l'interpellation du 19 septembre 1994 A la suite du scrutin populaire du 7 mars 1993 libéralisant les jeux de casino, l'article 35 de la Constitution fédérale a été mo- difié. Il paraît inévitable qu'une commission fédérale ad hoc ou un organisme fédéral devra exercer une surveillance sur l'oc- troi de concessions de casino, sur leur gestion, sur le contrôle de leurs recettes. Le Conseil fédéral n'est-il pas d'avis: 1. que le même organisme devrait contrôler également les lo- teries en tout genre, paris mutuels, sport toto, etc., dont le dé- veloppement est extraordinaire? On parle parfois d'ingérence de sociétés multinationales et d'alliances de toutes sortes dans ces entreprises; 2. que sur l'importance considérable des sommes d'argent manipulées par ces entreprises sous couvert justifié d'intérêt public, l'organisme s'occupant des casinos surveille égale- ment les pouvoirs en question en matière d'attribution de pro- fits: clubs sportifs, artistes et auteurs individuels? Ces sélec- tions et attributions pécuniaires semblent être effectuées par un nombre restreint de personnalités qui agissent souveraine- ment, nommées par cooptations privées et politiques; 3. qu'il serait possible à la Confédération, qui a certains pou- voirs en matière de loteries (l'alinéa 6 de l'article 35 de la Cons- titution fédérale précise qu'elle peut prendre des mesures concernant les loteries), d'obtenir, par une intervention sur les structures et les méthodes de ces entreprises, une meilleure transparence de leur gestion? Mitunterzeichner-Cosignataires: Keine - Aucun Schriftliche Begründung - Développement par écrit L'auteur renonce au développement et demande une réponse écrite. Schriftliche Stellungnahme des Bundesrates vom 16. November 1994 Rapport écrit du Conseil fédéral du 16 novembre 1994 Le 7 mars 1993, le peuple suisse a accepté de lever l'interdic- tion des maisons de jeu sur le territoire de la Confédération en modifiant l'article 35 de la Constitution fédérale. La commis- sion d'experts nommée pour élaborer l'avant-projet de la nou- velle loi sur les casinos est sur le point d'achever ses travaux. Le domaine des loteries et celui des casinos ne sont pas claire- ment distincts l'un de l'autre, mais montrent de nombreux points d'interférence. C'est pourquoi l'entrée en vigueur de la nouvelle loi sur les casinos aura des conséquences aussi sur l'existence et l'activité des entreprises de loterie qui sont ré- gies actuellement par la loi fédérale sur les loteries et les paris professionnels du 8 juin 1929. Toutefois, il est difficile de défi- nir aujourd'hui qu'elles seront exactement ces conséquences puisque la teneur de la nouvelle loi sur les casinos n'est pas encore définitive. Le Conseil fédéral est conscient qu'il s'avère nécessaire de re- voir totalement la loi fédérale sur les loteries et les paris profes- sionnels du 8 juin 1923. Celle-ci comprend en effet certaines dispositions qui sont aujourd'hui dépassées et qui ne trouvent plus d'application. Lors de cette révision, l'on examinera alors en détail la question de la surveillance des organismes de lote-</w:t>
      </w:r>
    </w:p>
    <w:p>
      <w:r>
        <w:t>Schweizerisches Bundesarchiv, Digitale Amtsdruckschriften Archives fédérales suisses, Publications officielles numérisées Archivio federale svizzero, Pubblicazioni ufficiali digitali Interpellation Hari Anhänger an vierradangetriebenen Motorfahrzeugen. Änderung der Verkehrsregelnverordnung Interpellation Hari Remorques des véhicules à quatre roues motrices. Modification de l'ordonnance sur les règles de la circulation routière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15 Séance Seduta Geschäftsnummer 94.3177 Numéro d'objet Numero dell'oggetto Datum 16.12.1994 - 08:00 Date Data Seite 2486-2487 Page Pagina Ref. No</w:t>
      </w:r>
    </w:p>
    <w:p>
      <w:r>
        <w:rPr>
          <w:b/>
        </w:rPr>
        <w:t>E. 20</w:t>
      </w:r>
    </w:p>
    <w:p>
      <w:r>
        <w:t>024 981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