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94.3166 vom 17. Juni 1994</w:t>
      </w:r>
    </w:p>
    <w:p>
      <w:r>
        <w:t>Bundesverwaltung, 1994-06-17, DE</w:t>
      </w:r>
    </w:p>
    <w:p>
      <w:r>
        <w:rPr>
          <w:b/>
        </w:rPr>
        <w:t xml:space="preserve">Quelle: </w:t>
      </w:r>
      <w:r>
        <w:t>https://mcp.opencaselaw.ch/entscheid/ch_vb_94.3166</w:t>
      </w:r>
    </w:p>
    <w:p>
      <w:r>
        <w:t>FR: CH_VB 94.3166 du 17 juin 1994</w:t>
      </w:r>
    </w:p>
    <w:p>
      <w:r>
        <w:t>IT: CH_VB 94.3166 del 17 giugno 1994</w:t>
      </w:r>
    </w:p>
    <w:p>
      <w:pPr>
        <w:pStyle w:val="Heading2"/>
      </w:pPr>
      <w:r>
        <w:t>Erwägungen</w:t>
      </w:r>
    </w:p>
    <w:p>
      <w:r>
        <w:rPr>
          <w:b/>
        </w:rPr>
        <w:t>E. 17</w:t>
      </w:r>
    </w:p>
    <w:p>
      <w:r>
        <w:t>juin 1994 fédéral, de manière à ce que la Chambre puisse donner une appréciation quant au fond et indiquer ainsi dans quelle me- sure elle approuve un rapport Mitunterzeichner - Cosignataires: Bonny, Bühlmann, Bührer Gerald, Fischer-Seengen, Heberlein, Thür, Tschuppert Karl (7) Schriftliche Begründung - Développement par écrit Soweit ersichtlich sind die Stellungnahme und die Beschluss- fassung des Nationalrates zu den vom Bundesrat unterbreite- ten Berichten, die nicht in direktem Zusammenhang mit der Gesetzgebung oder mit der Genehmigung von Rechnung und Budget bzw. Geschäftsbericht stehen, nicht geregelt Die- ser Zustand ist sehr unbefriedigend, weil es dem Rat damit weitgehend verwehrt ist, seiner materiellen Beurteilung von Gehalt und Akzeptanz eines bundesrätlichen Berichtes nach aussen Ausdruck zu geben. Statt dessen werden Parlamenta- rier, die mit dem unterbreiteten Bericht nicht einverstanden sind, zu einem zumindest aus formaler Sicht höchst fragwürdi- gen Rückweisungsantrag veranlasst (siehe jüngstes Beispiel «Integrationsbericht»). Und nicht selten wird vorab in der Öf- fentlichkeit «Kenntnisnahme» mit «Zustimmung» gleichge- setzt Aufgrund dieser Überlegungen ist das Geschäftsreglement des Nationalrates in dem Sinne zu ändern, dass bundesrätli- che Berichte inskünftig einer wertenden Beurteilung durch das Parlament unterzogen werden können. Wie in den Ge- schäftsreglementen mehrerer kantonaler Parlamente vorge- sehen, soll daher inskünftig auch der Nationalrat verschie- dene Möglichkeiten haben, einen unterbreiteten bundesrätli- chen Bericht zur Kenntnis zu nehmen. Als Möglichkeiten könnten die nachfolgenden Kriterien in Betracht gezogen werden: - Kenntnisnahme mit Zustimmung; - Kenntnisnahme; - Kenntnisnahme ohne Zustimmung. Ich bitte daher das Büro des Nationalrates, baldmöglichst eine entsprechende Änderung des Geschäftsreglementes auszu- arbeiten und dem Rat vorzulegen. Schriftliche Stellungnahme des Büros vom 1. Juni 1994 Rapport écrit du Bureau du 1er juin 1994 Die Frage der Art und Weise, wie Berichte des Bundesrates von den beiden Räten behandelt werden sollen und welche Beschlüsse dazu gefasst werden können, hat in der jüngsten Zeit wiederholt zu Diskussionen, auch im Büro, Anlass gege- ben. Das Büro wird sich noch in diesem Jahr in bezug auf eine andere Frage mit einer allfälligen Reglementsrevision zu be- fassen haben. Es ist bereit, bei dieser Gelegenheit auch zu prüfen, wie die Genehmigung von Berichten des Bundesrates im Geschäftsreglement zu regeln ist. Schriftliche Erklärung des Büros Déclaration écrite du Bureau Das Büro beantragt, die Motion in ein Postulat umzuwandeln. Überwiesen als Postulat - Transmis comme postulat #ST# 93.3110 Motion Gonseth Umweltverträglichkeitsprüfung für Gentech-Anlagen Etudes d'impact sur l'environnement pour les installations de technologie génétique Wortlaut der Motion vom 16. März 1993 Der Bundesrat wird ersucht, gestütztauf Artikel 9 Absatz 1 des Umweltschutzgesetzes (USG) in Verbindung mit Artikel 1 der Umweltverträglichkeitsprüfungs-Verordnung (UVPV) Anla- gen, in denen mit gentechnisch veränderten Organismen ge- arbeitet wird, der Pflicht zur Umweltverträglichkeitsprüfung (UVP) zu unterstellen. Texte de la motion du 16 mars 1993 Le Conseil fédéral est chargé, en vertu de l'article 9 alinéa 1er de la loi sur la protection de l'environnement (LPE), ainsi que de l'article 1er de l'ordonnance relative à l'étude de l'impact sur l'environnement (OEIE), de soumettre obligatoirement à l'étude de l'impact sur l'environnement les installations utili- sant des organismes génétiquement modifiés. Mitunterzeichner - Cosignataires: Bär, Baumann, Bäumlin, Bühlmann, Bundi, Danuser, Diener, Gardiol, Hafner Rudolf, Hämmerle, Hollenstein, Jori, Maeder, Meier Hans, Meier Sa- muel, Meyer Theo, Rebeaud, Seiler Rolf, Strahm Rudolf, Thür (20) Schriftliche Begründung - Développement par écrit Die heutige Situation vermag nicht zu befriedigen. Anlagen für chemische Prozesse unterstehen der Pflicht zur UVP (z. B. 70.5 und 70.6, Anhang zur UVPV), nicht aber Anlagen für bio- technische Prozesse. Für eine ungleiche Behandlung solcher Anlagen sind keine objektiven Gründe ersichtlich. Es ist des- halb angezeigt, diesen systematischen Fehler zu korrigieren. Dass der Umgang mit gentechnisch veränderten Organismen Auswirkungen auf die Umwelt und mittelbar auf den Men- schen hat, ist heute allgemein anerkannt, wenn auch das Aus- mass der Gefährdung umstritten ist Die Unterstellung unter die Störfallverordnung von Betrieben, in denen gentechnisch veränderte Mikroorganismen verwendet werden, kann keines- falls als Ersatz für eine UVP angesehen werden. Die Störfallver- ordnung erfasst den Bereich des Betriebes einer Anlage. Mit der UVP soll dagegen die Anlage selbst einer genaueren Prü- fung unterzogen werden. Das drängt sich um so mehr auf, als unterdessen auch die Bundesverfassung Grundsätze über die Gentechnologie enthält Zudem soll im Rahmen der hängigen Revision des Umweltschutzgesetzes der Umgang mit gen- technisch veränderten Organismen geregelt werden. Schriftliche Stellungnahme des Bundesrates vom 12. Mai 1993 Rapport écrit du Conseil fédéral du 12 mai 1993 Der Inhalt der Motion Gonseth entspricht demjenigen der Mo- tion Baerlocher vom 3. Oktober 1990, UVP für biotechnische und gentechnologische Anlagen. Seit der Antwort des Bun- desrates vom 21. November 1990 auf die Motion Baerlocher ist keine Entwicklung eingetreten, welche den Bundesrat heute zu einer inhaltlichen Änderung dieser Antwort veranlas- sen würde. 1. Die Verordnung vom 19. Oktober 1988 über die Umweltver- träglichkeitsprüfung (UVPV) ist eine Verfahrensverordnung und enthält keine materiellen Vorschriften. Mit der UVP soll festgestellt werden, ob ein UVP-pflichtiges Projekt den bun- desrechtlichen Vorschriften über den Schutz der Umwelt ent- spricht (Art 3 Abs. 1UVPV).</w:t>
      </w:r>
    </w:p>
    <w:p>
      <w:r>
        <w:t>Schweizerisches Bundesarchiv, Digitale Amtsdruckschriften Archives fédérales suisses, Publications officielles numérisées Archivio federale svizzero, Pubblicazioni ufficiali digitali Motion Dettling Geschäftsreglement des Nationalrates. Änderung Motion Dettling Règlement du Conseil national. Modification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94.3166 Numéro d'objet Numero dell'oggetto Datum 17.06.1994 - 08:00 Date Data Seite 1187-1188 Page Pagina Ref. No</w:t>
      </w:r>
    </w:p>
    <w:p>
      <w:r>
        <w:rPr>
          <w:b/>
        </w:rPr>
        <w:t>E. 20</w:t>
      </w:r>
    </w:p>
    <w:p>
      <w:r>
        <w:t>024 179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