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94.3156 vom 17. Juni 1994</w:t>
      </w:r>
    </w:p>
    <w:p>
      <w:r>
        <w:t>Bundesverwaltung, 1994-06-17, DE</w:t>
      </w:r>
    </w:p>
    <w:p>
      <w:r>
        <w:rPr>
          <w:b/>
        </w:rPr>
        <w:t xml:space="preserve">Quelle: </w:t>
      </w:r>
      <w:r>
        <w:t>https://mcp.opencaselaw.ch/entscheid/ch_vb_94.3156</w:t>
      </w:r>
    </w:p>
    <w:p>
      <w:r>
        <w:t>FR: CH_VB 94.3156 du 17 juin 1994</w:t>
      </w:r>
    </w:p>
    <w:p>
      <w:r>
        <w:t>IT: CH_VB 94.3156 del 17 giugno 1994</w:t>
      </w:r>
    </w:p>
    <w:p>
      <w:pPr>
        <w:pStyle w:val="Heading2"/>
      </w:pPr>
      <w:r>
        <w:t>Erwägungen</w:t>
      </w:r>
    </w:p>
    <w:p>
      <w:r>
        <w:rPr>
          <w:b/>
        </w:rPr>
        <w:t>E. 17</w:t>
      </w:r>
    </w:p>
    <w:p>
      <w:r>
        <w:t>juin 1994 Ob jedermann voraussetzunglos als Kleinreisender zugelas- sen werden soll, bedarf hingegen ebenfalls einer Überprü- fung. All diese Fragen sollen im Zusammenhang mit der von der Konferenz der kantonalen Justiz- und Polizeidirektoren be- antragten Vereinheitlichung der Wandergewerbe-Gesetzge- bung, die einen Konnex zum HRG aufweist, geprüft werden. Schriftliche Erklärung des Bundesrates Déclaration écrite du Conseil fédéral Der Bundesrat beantragt, die Motion in ein Postulat umzu- wandeln. Überwiesen als Postulat-Transmis comme postulat #ST# 94.3159 Motion Seiler Hanspeter Gesamtheitliche Regionalpolitik Politique régionale. Vision globale Wortlaut der Motion vom 18. März 1994 Der Bundesrat wird ersucht, - die Regionalpolitik gesamtheitlich und umfassend zu über- prüfen und sie den neuen Gegebenheiten und Veränderun- gen anzupassen; - Massnahmen zu treffen, welche die Folgen des neu begon- nenen «Ausdünnungsprozesses» in den davon betroffenen Regionen unseres Landes mildern oder verhindern. Texte de la motion du 18 mars 1994 Le Conseil fédéral est chargé - de procéder à un réexamen général et complet de la politi- que régionale, afin de l'adapter aux nouvelles données en te- nant compte des modifications de la situation; - de prendre des mesures visant à atténuer, sinon à éliminer, les conséquences des progrès de la marginalisation récem- ment constatée de certaines régions de notre pays. Mitunterzeichner - Cosignataires: Berger, Bezzola, Binder, Bonny, Bühler Simeon, Bürgi, Columberg, Daepp, Fehr, Gy- sin, Hari, Keller Rudolf, Maeder, Marti Werner, Maurer, Miesch, Rychen, Scherrer Werner, Schmidhalter, Schmied Walter, Schnider, Schwab, Stamm Luzi, Strahm Rudolf, Wittenwiler, Wyss William, Zolch.Zwygart (28) Schriftliche Begründung - Développement par écrit Die im Gang befindliche rasante technologische Entwicklung und die zunehmende Internationalisierung der Wirtschaft füh- ren zu umfassenden Strukturveränderungen in praktisch allen Wirtschaftszweigen und verstärken die daraus entstehenden Konzentrationsprozesse. Zusätzlich erschweren die als Folge der prekären Finanzlage der öffentlichen Haushalte unum- gänglich gewordenen Sparbemühungen im Bund und in den meisten Kantonen das Wahrnehmen der regionalwirtschaft- lich und staatspolitisch bedeutungsvollen Ausgleichsfunktio- nen des Staates. Von dieser Entwicklung werden die dünnbe- siedelten Regionen unseres Landes sieht- und fühlbar stark betroffen. Die durch eine sinnvolle Regionalpolitik in den siebziger und achtziger Jahren erzielten Fortschritte (zum Beispiel Stoppen der Entleerungstendenzen in den Rand- und Berggebieten, Annäherung des Pro-Kopf-Einkommens an den gesamt- schweizerischen Durchschnitt, Abbau des infrastrukturellen Nachholbedarfs in diesen Regionen) werden gefährdet Die mit dem Argument der besseren Wirtschaftlichkeit und scheinbarer Kosteneinsparung begründeten Zentralisie- rungsbestrebungen zum Beispiel im Banken- und Versiche- rungswesen, aber ebenso im Bereich der öffentlichen Dienst- leistungen (z. B. PTT, öffentlicher Verkehr, öffentliche Verwal- tungen, Gesundheitswesen) führen zu einem schleichenden Rückzug aus der Fläche. Das Dienstleistungsangebot in den dünnbesiedelten Regionen wird mosaiksteinchenweise im- mer mehr ausgedünnt. Zudem bauen Banken, Versicherun- gen, die PTT, viele Bahnen und öffentliche Verwaltungen an der Front ab, reduzieren damit Arbeits- und Ausbildungsplätze und/oderverlagern sie Richtung Zentren. Mobilität wird -zum Teil von Staates wegen -gefordert und gefördert Parallel dazu werden automatisch auch Führungsaufgaben und Entscheidungskompetenzen ausgelagert bzw. den er- wähnten Regionen entzogen und entsprechend zentralisiert und konzentriert Dies führt zu schleichender Auspowerung, zu Abbau von tatsächlicher Autonomie und zu wachsender Abhängigkeit mit zunehmender Fremdbestimmung. Die volkswirtschaftlichen, siedlungspolitischen und nicht zuletzt die staatspolitischen Auswirkungen dieses Prozesses sind nicht unbedenklich und dürfen nicht unterschätzt werden. Es verwundert nicht, dass immer mehr Bevölkerungskreise diese Entwicklung mit wachsender Besorgnis verfolgen. Der Bund darf dieser langsamen Schritt-um-Schritt-Entwick- lung nicht tatenlos zuschauen. Er hat vielmehr seine gesamt- heitliche Regionalpolitik den neuen Gegebenheiten und Ver- änderungen anzupassen. Schriftliche Erklärung des Bundesrates vom 11. Mai 1994 Déclaration écrite du Conseil fédéral du 11 mai 1994 Der Bundesrat ist bereit, die Motion entgegenzunehmen. Überwiesen - Transmis #ST# 93.3655 Motion von Feiten Durchsetzung des Brutale- und Pornoverbots Scènes de violence et pornographie. Interdiction Wortlaut der Motion vom 16. Dezember 1993 Kürzlich erschienene Presseberichte über die Verbreitung strafrechtlich relevanter Darstellungen auf PC über Mailbox und über das leicht zu umgehende Passwortsystem gegen den Zugriff auf die einschlägigen 156er Nummern zeigen auf, dass die vor drei Jahren beschlossenen Strafrechtsbestim- mungen betreffend Brutalo- und Pornoverbot (Art 135 und Art. 197 StGB) gegen diese Arten der technischen Verbreitung nicht mehr wirken. Der Bundesrat wird beauftragt, rechtliche und/oder techni- sche Massnahmen zu ergreifen, die zur Durchsetzung der strafrechtlichen Bestimmungen betreffend Brutalo- und Por- noverbot geeignet sind. Texte de la motion du 16 décembre 1993 Ainsi que l'ont montré de récents articles de presse concer- nant la diffusion - sur ordinateur personnel, par messagerie électronique et au moyen du système de code facilement contournable contrôlant l'accès aux numéros 156 - de scè- nes punissables en vertu du droit pénal, les dispositions arrê- tées il y a trois ans concernant la représentation de la vio- lence et la pornographie (art. 135 et 197 CP) n'ont plus au- cune efficacité lorsqu'il s'agit de lutter contre ces modes de diffusion technique. Le Conseil fédéral est donc chargé de prendre des mesures juridiques et, le cas échéant, techniques, afin de garantir l'ap- plication des dispositions pénales visant à interdire la repré- sentation de la violence et la pornographie.</w:t>
      </w:r>
    </w:p>
    <w:p>
      <w:r>
        <w:t>Schweizerisches Bundesarchiv, Digitale Amtsdruckschriften Archives fédérales suisses, Publications officielles numérisées Archivio federale svizzero, Pubblicazioni ufficiali digitali Motion Mühlemann Aufhebung des Bundesgesetzes über die Handelsreisenden Motion Mühlemann Loi fédérale sur les voyageurs de commerce. Abrogation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94.3156 Numéro d'objet Numero dell'oggetto Datum 17.06.1994 - 08:00 Date Data Seite 1181-1182 Page Pagina Ref. No</w:t>
      </w:r>
    </w:p>
    <w:p>
      <w:r>
        <w:rPr>
          <w:b/>
        </w:rPr>
        <w:t>E. 20</w:t>
      </w:r>
    </w:p>
    <w:p>
      <w:r>
        <w:t>024 170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