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94.3155 vom 17. Juni 1994</w:t>
      </w:r>
    </w:p>
    <w:p>
      <w:r>
        <w:t>Bundesverwaltung, 1994-06-17, DE</w:t>
      </w:r>
    </w:p>
    <w:p>
      <w:r>
        <w:rPr>
          <w:b/>
        </w:rPr>
        <w:t xml:space="preserve">Quelle: </w:t>
      </w:r>
      <w:r>
        <w:t>https://mcp.opencaselaw.ch/entscheid/ch_vb_94.3155</w:t>
      </w:r>
    </w:p>
    <w:p>
      <w:r>
        <w:t>FR: CH_VB 94.3155 du 17 juin 1994</w:t>
      </w:r>
    </w:p>
    <w:p>
      <w:r>
        <w:t>IT: CH_VB 94.3155 del 17 giugno 1994</w:t>
      </w:r>
    </w:p>
    <w:p>
      <w:pPr>
        <w:pStyle w:val="Heading2"/>
      </w:pPr>
      <w:r>
        <w:t>Erwägungen</w:t>
      </w:r>
    </w:p>
    <w:p>
      <w:r>
        <w:rPr>
          <w:b/>
        </w:rPr>
        <w:t>E. 17</w:t>
      </w:r>
    </w:p>
    <w:p>
      <w:r>
        <w:t>Juni 1994 N 1223 Interpellation Allenspach 2. Die im Expertenentwurf vorgeschlagenen neuen Strafen könnten zwar, technisch gesehen, aus dem Vorentwurf her- ausgelöst werden, um die im geltenden Strafgesetzbuch an- gedrohten kurzen Freiheitsstrafen zu ersetzen. Dieses Vorge- hen wäre jedoch aus den folgenden Gründen nicht sinnvoll: 2.1 Das neue Sanktionensystem, das der Expertenentwurf vorschlägt, besteht nicht nur in der Einführung neuer Strafar- ten, sondern umfasstauch eine Neuregelung der Strafzumes- sung und der Strafbefreiung und sieht neue Massnahmen vor. Diese Neuerungen sind aufeinander abgestimmt und bilden ein Ganzes. Es geht dabei nicht nur um den Ersatz der kurzen Freiheitsstrafe, sondern auch um eine Neukonzeption der Geldstrafe. Diese soll neu nach dem Tagessatzsystem bemes- sen werden, wobei sich die Zahl der Tagessätze nicht nur nach dem Verschulden des Täters, sondern auch nach den wirt- schaftlichen Verhältnissen richtet Bei einer Revision, die sich nur auf die kurzen Strafen konzentrieren würde, ergäben sich mithin Abgrenzungsprobleme zu den übrigen im Gesetzent- wurf der Expertenkommission vorgesehenen Neuerungen. 2.2 Die Aufteilung des Revisionsprojektes in zwei Vorlagen würde zudem verschiedene Doppelspurigkeiten nach sich ziehen: - Die Ausarbeitung und Beratung von zwei getrennten Gesetz- entwürfen bedeutet für die Verwaltung wie für das Parlament eine Verdoppelung der Verfahrensabläufe und des damit ver- bundenen Zeitaufwandes. - Die Strafdrohungen in den Bestimmungen des Besonderen Teils des Strafgesetzbuches müssten zweimal umgeschrie- ben werden: einmal beim Ersatz der kurzen Freiheitsstrafen durch neue Strafen, und ein zweites Mal bei der Einführung des verbleibenden Teils des neuen Sanktionensystems. Das- selbe gilt für die Strafdrohungen in den zahllosen Bestimmun- gen des Nebenstrafrechts. - Die Einführung des vorgeschlagenen Sanktionensystems in zwei Etappen würde auch zwei komplexe Übergangsregelun- gen nach sich ziehen, deren Anwendung für die Strafverfol- gungsbehörden schwierig wäre. 2.3 Die kurzen Freiheitsstrafen sollen in erster Linie wegen ih- rer oft kontraproduktiven Auswirkungen durch zweckmässi- gere Sanktionen ersetzt werden. Wie in der Begründung der Interpellation angeführt wird, dürfte diese Neuerung als er- wünschter Nebeneffekt tendenziell zu einer Entlastung der Gefängnisse führen. Indem die kurzen Freiheitsstrafen grund- sätzlich durch die neue Geldstrafe und die gemeinnützige Ar- beit ersetzt werden, sind zudem auch finanzpolitisch positive Auswirkungen zu erwarten. Gleichwohl scheint dem Bundesrat eine vorgezogene, auf den Bereich der kurzen Gefängnisstrafen beschränkte Revision nicht ratsam. Die bisher ausgewerteten Vernehmlassungen zum Vorentwurf der Expertenkommission lassen zwar erken- nen, dass die Abschaffung der kurzen Freiheitsstrafen in der Tendenz mehrheitlich begrüsst wird. Im Detail werden aber zahlreiche Vorbehalte geltend gemacht und einzelne der neu vorgeschlagenen Sanktionen abgelehnt, was eine gründliche Überarbeitung des Vorentwurfs in diesem Bereich nötig macht. Dies wird sich auf das gesamte Sanktionensystem aus- wirken, so dass letztlich nur eine geringe Beschleunigung möglich wäre. Auch wenn eine baldige Entlastungswirkung der Vollzugseinrichtungen erwünscht ist, so ist doch anderer- seits zu bedenken, dass das neue Sanktionensystem im Straf- gesetzbuch sich auf längere Dauer bewähren soll. Mit Blick darauf wäre es falsch, kurzfristig die Regelung eines zwar wichtigen Teils der Sanktionen vorzuziehen, weil dann bei der Revision des restlichen Sanktionensystems wieder Anpassun- gen nötig wären. Ferner sind Neuerungen in anderen Berei- chen des Straf rechts ebensowichtig und sollten nicht verscho- ben werden. Im Vordergrund steht vor allem die Prüfung neuer Massnahmen zum Schutz der Öffentlichkeit vor schweren Ge- waltverbrechen. Aus all diesen Gründen zieht es der Bundesrat vor, die anste- hende Revision des Strafgesetzbuches insgesamt zügig vor- anzutreiben, pies scheint auch im Lichte der Vernehmlas- sungsergebnisse durchaus möglich. Eine Revision nur im Bereich der kurzen Freiheitsstrafen könnte deshalb höchstens dann in Erwägung gezogen wer- den, wenn aufgrund der definitiven Vernehmlassungsergeb- nisse die Gesamtrevision des Allgemeinen Teils des Strafge- setzbuches zurückgestellt werden müsste. Über das weitere Schicksal der Expertenentwürfe wird aber der Bundesrat, wie oben erwähnt, nicht vor dem Frühjahr 1995 endgültig ent- scheiden. Aus den angeführten Gründen erachtet der Bundesrat eine se- parate Vorlage betreffend den Ersatz der kurzen Freiheitsstra- fen durch andere Strafen im jetzigen Zeitpunkt nicht für ange- zeigt. Erklärung des Interpellanten: befriedigt Déclaration de l'interpellateur: satisfait #ST# 93.3600 Interpellation Allenspach Gewährleistung des Rechtsstaates Garantie de l'Etat de droit Wortlaut der Interpellation vom 13. Dezember 1993 In verschiedenen Kantonen, insbesondere im Kanton Zürich, werden Häftlinge, die sich in Polizei- und Untersuchungshaft befinden, laufend wegen Mangel an Gefängnisplätzen auf freien FUSS gesetzt Diese Notentlassungen führen nach An- gaben von Untersuchungsbehörden dazu, dass Straftäter aus dem Ausland in Massen auftreten und in der Schweiz delik- tisch tätig werden, ohne dass ihnen wirksam begegnet wer- den kann. Polizeibehörden bestätigen, dass sie mangels Gefängnisplät- zen möglicherweise auf Monate hinaus auf grossangelegte Verhaftungsaktionen zur Bekämpfung des organisierten Ver- brechens und des Drogenhandels verzichten müssen. Ich ersuche den Bundesrat um Beantwortung folgender Fragen: Teilt der Bundesrat die Auffassung, dass diese Situation eine Kapitulation des Rechtsstaates bedeutet? Wer trägt nach Auffassung des Bundesrates die Verantwor- tung für diese Kapitulation des Rechtsstaates? Was unternimmt der Bundesrat, um rechtsstaatliche Zustände wiederherzustellen? Ist er bereit, dazu auch ausserordentliche Massnahmen und allenfalls sogar Notrecht anzuwenden? Wie lange lässt der Bundesrat zu, dass im ausländischen Ver- brechermilieu die Schweiz und insbesondere die Stadt Zürich als lukrativer, praktisch gefahrloser Tummel- und Aktionsplatz betrachtet werden? Texfe de l'interpellation du 13 décembre 1993 Dans plusieurs cantons, notamment dans le canton de Zurich, on ne cesse de libérer des personnes qui sont détenues par la police ou qui se trouvent en détention préventive, faute de place dans les prisons. D'après les indications fournies par les autorités chargées de l'instruction, ces libérations «forcées» ont pour conséquence que de nombreux criminels viennent commettre des actes délictueux en Suisse sans qu'on puisse lutter efficacement contre le phénomène. La police confirme que dans le cadre de la lutte contre le crime organisé et le trafic de drogue, il se peut qu'elle doive renoncer pendant plusieurs mois à lancer de vastes opérations d'arres- tation en raison du manque de place dans les prisons. Voici les questions que j'adresse au Conseil fédéral: Est-il aussi d'avis que cette situation représente une capitula- tion de l'Etat de droit? Qui porte, selon lui, la responsabilité de cette capitulation? Qu'entreprend-il pour restaurer l'Etat de droit? Est-il prêt à aller jusqu'à prendre des mesures extraordinaires et, si besoin est, à avoir recours au droit de nécessité?</w:t>
      </w:r>
    </w:p>
    <w:p>
      <w:r>
        <w:t>Schweizerisches Bundesarchiv, Digitale Amtsdruckschriften Archives fédérales suisses, Publications officielles numérisées Archivio federale svizzero, Pubblicazioni ufficiali digitali Interpellation Raggenbass Revision des Strafgesetzbuches Interpellation Raggenbass Révision du Code pénal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94.3155 Numéro d'objet Numero dell'oggetto Datum 17.06.1994 - 08:00 Date Data Seite 1222-1223 Page Pagina Ref. No</w:t>
      </w:r>
    </w:p>
    <w:p>
      <w:r>
        <w:rPr>
          <w:b/>
        </w:rPr>
        <w:t>E. 20</w:t>
      </w:r>
    </w:p>
    <w:p>
      <w:r>
        <w:t>024 217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