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94.3137 vom 17. Juni 1994</w:t>
      </w:r>
    </w:p>
    <w:p>
      <w:r>
        <w:t>Bundesverwaltung, 1994-06-17, DE</w:t>
      </w:r>
    </w:p>
    <w:p>
      <w:r>
        <w:rPr>
          <w:b/>
        </w:rPr>
        <w:t xml:space="preserve">Quelle: </w:t>
      </w:r>
      <w:r>
        <w:t>https://mcp.opencaselaw.ch/entscheid/ch_vb_94.3137</w:t>
      </w:r>
    </w:p>
    <w:p>
      <w:r>
        <w:t>FR: CH_VB 94.3137 du 17 juin 1994</w:t>
      </w:r>
    </w:p>
    <w:p>
      <w:r>
        <w:t>IT: CH_VB 94.3137 del 17 giugno 1994</w:t>
      </w:r>
    </w:p>
    <w:p>
      <w:pPr>
        <w:pStyle w:val="Heading2"/>
      </w:pPr>
      <w:r>
        <w:t>Erwägungen</w:t>
      </w:r>
    </w:p>
    <w:p>
      <w:r>
        <w:rPr>
          <w:b/>
        </w:rPr>
        <w:t>E. 17</w:t>
      </w:r>
    </w:p>
    <w:p>
      <w:r>
        <w:t>juin 1994 Schriftliche Begründung - Développement par écrit Der aussenpolitische Bericht des Bundesrates hat sich - an- gesichts der Situation nach dem EWR-Nein durchaus ver- ständlicherweise - auf die schweizerische Aussenpolitik in Eu- ropa beschränkt Ausserhalb Europas vollziehen sich aber grosse Veränderun- gen, die für die Schweiz und ihre Aussenpolitik eine bedeu- tende Rolle spielen. Erinnert sei hier nur an den wirtschaftli- chen Aufstieg der Länder Südostasiens und an deren zuneh- mende militärische Bedeutung. Ein Bericht des Bundesrates, der immer auch entsprechende Berichterstattungen in den Medien auslöst, ist ein Mittel, das Schweizervolk auf die Bedeutung der weltpolitischen Verän- derungen ausserhalb Europas aufmerksam zu machen. Nach der weitgehenden Konzentration auf die Europapolitik dürften aussereuropäische Fragen auch in den parlamentarischen Beratungen wieder an Gewicht gewinnen. Es wäre deshalb nützlich, wenn der Bundesrat den eidgenössischen Räten seine Vorstellungen auf diesem Gebiet zur Kenntnis bringen würde. Schriftliche Stellungnahme des Bundesrates vom 18. Mai 1994 Rapport écrit du Conseil fédéral du 18 mai 1994 Der Bericht des Bundesrates zur Aussenpolitik in den neunzi- ger Jahren beschränkt sich keineswegs auf die Aussenpolitik in Europa; es handelt sich vielmehr um einen umfassenden Strategiebericht, der die aussereuropäischen Elemente der schweizerischen Aussenpolitik bereits abdeckt Der Bericht ist nicht nach geographischen Räumen, sondern nach aussen- politischen Zielen, die weltweit gelten, aufgebaut Im übrigen hat der Bundesrat im «Nord-Süd-Leitbild» und in der «Bot- schaft über die Weiterführung der technischen Zusammenar- beit und der Finanzhilfe zugunsten von Entwicklungsländern» aussereuropäische Aspekte ausführlich behandelt Schliess- lich hat sich der Bundesrat durch die Entgegennahme des Postulates der Aussenpolitischen Kommission des Ständera- tes «Aussenpolitische Berichterstattung» (93.098) bereit er- klärt, eine regelmässige Berichterstattung zur Aussenpolitik- in welcher Form auch immer - zu prüfen. Den Anliegen der Postulantin wird auch in diesem Zusammenhang Rechnung getragen werden. Schriftliche Erklärung des Bundesrates Déclaration écrite du Conseil fédéral Der Bundesrat beantragt, das Postulat als erfüllt abzu- schreiben. Abgeschrieben - Classé #ST# 93.3623 Postulat Grendelmeier Kontrolle von Blut und Blutpräparaten Sang et dérivés du sang. Contrôle Wortlaut des Postulates vom 15. Dezember 1993 Der Bundesrat wird eingeladen, dem Parlament Bericht über die Kontrolle von Blut und Blutspenden und von Blutpräpara- ten in der Schweiz zu erstatten, Schwachstellen und Verbesse- rungsmöglichkeiten aufzuzeigen und geeignete Massnah- men vorzuschlagen. Texte du postulat du 15 décembre 1993 J'invite le Conseil fédéral à présenter au Parlement un rapport sur les contrôles auxquels sont soumis en Suisse tant le sang des donneurs que les dérivés du sang; je l'invite encore à rele- ver les points faibles de ces contrôles, à indiquer les remèdes qu'on pourrait y apporter, enfin à proposer les mesures qui s'imposent Mitunterzeichner - Cosignataires: Dünki, Maeder, Meier Sa- muel, Weder Hansjürg, Zwygart (5) Schriftliche Begründung - Développement par écrit Blutspenden und Blutpräparate spielen in der Medizin eine grosse Rolle. Die gute Qualität von Blut und Blutspenden und Blutpräparaten ist deshalb gesundheitspolitisch äusserst wichtig. Gute Qualität bedeutet dabei vor allem, dass Blut und Blutpräparate nicht mit Krankheitserregern verseucht sind. Es wird vermutlich nie möglich sein, jede Gefährdung durch Blut und Blutpräparate vollständig auszuschliessen. Wenn es sich um Importe handelt, müssen wir uns darauf verlassen, dass ausländische Behörden ihre Verantwortung wahrneh- men. Zur Sicherheit gehört damit auch die Möglichkeit, bei all- fälligen Verseuchungen von Blutkonserven oder Blutpräpara- ten so rasch als möglich die Herkunft, mögliche Lagerbe- stände und die bereits erfolgte Verwendung festzustellen. Ist dies nicht möglich, so sind einerseits weitere Infektionen mög- lich, und andererseits greift die Verunsicherung unter den Empfängern um sich. Bei den Ereignissen im Zusammenhang mit der Affäre in Deutschland hat es sich gezeigt, dass die obenerwähnten Feststellungen nicht in der nötigen Vollständigkeit, mit der er- forderlichen Sicherheit und der angemessenen Geschwindig- keit getroffen werden konnten. Im Rahmen der ohnehin nöti- gen Überprüfung der Heilmittelkontrolle sollte deshalb dem Problem der Blutkonserven und Blutpräparate die gebüh- rende Aufmerksamkeit gewidmet werden. Schriftliche Stellungnahme des Bundesrates vom 23. März 1994 Rapport écrit du Conseil fédéral du 23 mars 1994 In der Schweiz sind die Kompetenzen bezüglich der Prüfung und Zulassung von Blut und Blutprodukten zwischen dem Bund und den Kantonen aufgeteilt Auf Stufe Bund kontrolliert das Bundesamt für Gesundheitswesen (BAG) diejenigen Blut- produkte, die zur Bekämpfung von Infektionskrankheiten ver- wendet werden (z. B. Immunglobuline). Grundlage dafür sind Artikel 30 des Epidemiengesetzes vom 18. Dezember 1970 (SR 818.101) und die Verordnung vom 23. August 1989 über die immunbiologischen Erzeugnisse (SR 812.111). Die Kan- tone sind für die Kontrolle von Blut und der übrigen Blutpro- dukte zuständig. Sie haben untereinander für die Kontrolle der Heilmittel eine Vereinbarung abgeschlossen, die Interkanto- nale Vereinbarung von 1971 über die Kontrolle der Heilmittel (SR 812.101). In diesem Rahmen haben sie die Zulassung und Kontrolle von bestimmten Blutprodukten (u. B. Gerin- nungsfaktoren) der Interkantonalen Kontrollstelle für Heilmit- tel (IKS) übertragen. Für alle übrigen Blutprodukte (z. B. Zell- präparate) sowie Vollblut oder Plasma ist die Kontrolle Sache der einzelnen Kantone. Am 9. April 1986 hat der Bundesrat die Verordnung über die Verhinderung der Übertragung von gefährlichen Infektions- krankheiten durch Blut und Blutprodukte (SR 818.112) erlas- sen. Er hat darin eine Testpflicht auf das Human Immunodefi- ciency Virus (HIV) sowie das Hepatitis-B- und Hepatitis-C- Virus vorgeschrieben. Die Einfuhr von Blut oder Blutproduk- ten in die Schweiz bedarf einer Bewilligung des BAG. Die Ein- fuhrbewilligung muss für jede einzelne Sendung eingeholt werden. Die Frage, ob in diesem Bereich Schwachstellen bestehen und mit welchen Massnahmen diese allenfalls behoben wer- den können, wurde durch eine Arbeitsgruppe «Blut und Aids» überprüft Das Eidgenössische Departement des Innern hat diese Arbeitsgruppe am 22. März 1993 eingesetzt mit dem Auftrag: - abzuklären, unter welchen Umständen im Jahre 1985 sowie früher oder später Patienten durch Transfusionen von Blut und Blutprodukten mit dem Aids-Virus infiziert worden sind;</w:t>
      </w:r>
    </w:p>
    <w:p>
      <w:r>
        <w:t>Schweizerisches Bundesarchiv, Digitale Amtsdruckschriften Archives fédérales suisses, Publications officielles numérisées Archivio federale svizzero, Pubblicazioni ufficiali digitali Postulat Grendelmeier Ergänzender Bericht zur Aussenpolitik Postulat Grendelmeier Politique extérieure. Rapport complémentaire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94.3137 Numéro d'objet Numero dell'oggetto Datum 17.06.1994 - 08:00 Date Data Seite 1189-1190 Page Pagina Ref. No</w:t>
      </w:r>
    </w:p>
    <w:p>
      <w:r>
        <w:rPr>
          <w:b/>
        </w:rPr>
        <w:t>E. 20</w:t>
      </w:r>
    </w:p>
    <w:p>
      <w:r>
        <w:t>024 182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