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94.3109 vom 17. Juni 1994</w:t>
      </w:r>
    </w:p>
    <w:p>
      <w:r>
        <w:t>Bundesverwaltung, 1994-06-17, DE</w:t>
      </w:r>
    </w:p>
    <w:p>
      <w:r>
        <w:rPr>
          <w:b/>
        </w:rPr>
        <w:t xml:space="preserve">Quelle: </w:t>
      </w:r>
      <w:r>
        <w:t>https://mcp.opencaselaw.ch/entscheid/ch_vb_94.3109</w:t>
      </w:r>
    </w:p>
    <w:p>
      <w:r>
        <w:t>FR: CH_VB 94.3109 du 17 juin 1994</w:t>
      </w:r>
    </w:p>
    <w:p>
      <w:r>
        <w:t>IT: CH_VB 94.3109 del 17 giugno 1994</w:t>
      </w:r>
    </w:p>
    <w:p>
      <w:pPr>
        <w:pStyle w:val="Heading2"/>
      </w:pPr>
      <w:r>
        <w:t>Erwägungen</w:t>
      </w:r>
    </w:p>
    <w:p>
      <w:r>
        <w:rPr>
          <w:b/>
        </w:rPr>
        <w:t>E. 17</w:t>
      </w:r>
    </w:p>
    <w:p>
      <w:r>
        <w:t>juin 1994 kel 384 des Strafgesetzbuches (StGB) in Anstalten, die von Privatpersonen betrieben werden, zwar verschiedene Mass- nahmen, nicht aber Strafen vollzogen werden. Eine Aus- nahme stellt bisher nur der Strafvollzug in der für Entlassungs- anwärter vorgesehenen Form der Halbfreiheit dar. Indessen sieht der Expertenentwurf zur Revision des Allgemeinen Teils und des Dritten Buches des StGB eine gewisse Ausweitung von Artikel 384 StGB in der Weise vor, dass künftig in Privatan- stalten auch Strafen in Form der sogenannten Halbgefangen- schaft vollzogen werden könnten. Ob den Kantonen die Kompetenz eingeräumt werden soll, den Strafvollzug in noch weiterem Ausmass an private Institu- tionen zu delegieren, ist eine grundsätzliche Frage, die im Rahmen der weiteren Bearbeitung des genannten Vorent- wurfs zur Revision von Allgemeinem Teil und Drittem Buch des StGB eingehend geprüft werden muss. Dabei sind in erster Li- nie die hiezu im Vernehmlassungsverfahren zum Vorentwurf geäusserten Meinungen, aber auch die Erfahrungen anderer Länder mit der Privatisierung des Strafvollzuges gebührend zu berücksichtigen. DieVernehmlassungsfrististam28. Februar 1994 abgelaufen. Die Kantone haben eine Fristverlängerung bis Ende April, einzelne politische Parteien und mehrere inter- essierte Organisationen bis Ende Mai oder Juni 1994 verlangt Über die Stellungnahmen zur Frage der Privatisierung des Strafvollzuges können daher heute noch keine gültigen Anga- ben gemacht werden. In seiner Antwort zur Interpellation Raggenbassvom 18. März 1994 (94.3155, Revision Strafgesetzbuch) hat der Bundesrat ausführlich begründet, weshalb er es im heutigen Zeitpunkt nicht für angezeigt hält, einzelne Teilaspekte aus dem genann- ten Projekt zur Gesamtrevision des Allgemeinen Teils und des Dritten Buches des StGB auszugliedern und zu einer separa- ten Vorlage zu machen. Jene Ausführungen haben auch für die Frage der weiteren Privatisierung des Strafvollzuges Gül- tigkeit Aus den dargelegten Gründen ist der Bundesrat bereit, die Motion in Form eines Postulates entgegenzunehmen. Schriftliche Erklärung des Bundesrates Déclaration écrite du Conseil fédéral Der Bundesrat beantragt, die Motion in ein Postulat umzuwan- deln. Präsidentin: Der Vorstoss wird von Herrn Rechsteiner be- kämpft. Die Diskussion wird verschoben. Verschoben - Renvoyé #ST# 93.3675 Motion Rohrbasser Artikel 32ter der Bundesverfassung. Aufhebung Suppression de l'article 32ter de la constitution Wortlaut der Motion vom 17. Dezember 1993 Der Bundesrat wird beauftragt, den eidgenössischen Räten eine Botschaft vorzulegen über die Aufhebung von Artikel 32ter Bundesverfassung, der Fabrikation, Einfuhr, Transport und Verkauf von Absinth verbietet Die Kriterien, die seinerzeit für das Absinthverbot massgebend waren, sind heute überholt Absinth soll daher gleich behan- delt werden wie andere Spirituosen. Texte de la motion du 17 décembre 1993 Le Conseil fédéral est chargé de présenter aux Chambres un message concernant la suppression de l'article 32ter de la constitution interdisant la fabrication, l'importation, le trans- port et la vente de l'absinthe. Les critères d'interdiction de l'époque ne sont plus d'actualité. Je demande que l'absinthe soit considérée comme toute au- tre boisson spiritueuse. Mitunterzeichner - Cosignataires: Berger, Bischof, Chevallaz, Darbellay, Dreher, Eggly, Epiney, Friderici Charles, Gobet, Gros Jean-Michel, Leuba, Mamie, Narbel, Philipona, Reimann Maximilian, Savary, Scheurer Rémy, Theubet, Zisyadis, Zwah- len (20) Schriftliche Begründung - Développement par écrit 1. L'évolution de notre société est telle que cette boisson ne constituerait plus un impact de dangers tels qu'au début de ce siècle (interdiction 1908). Les règles d'hygiène concernant la santé publique et les cam- pagnes de prévention concernant l'abus de boissons alcooli- ques inclinent à penser que la population a atteint un degré de responsabilisation et de maturité suffisant. 2. La libéralisation consacrée des drogues dites douces est une façon plus incisive de mettre en péril la santé physique et mentale des citoyens. 3. Il existe dans" le commerce des produits de substitution qui ressemblent étrangement à la «boisson verte». Ce n'est pas de l'absinthe, mais ça à l'odeur de l'absinthe, la couleur de l'ab- sinthe, le goût de l'absinthe. 4. En cas de révision de la constitution, cet article serait aboli. Schriftliche Stellungnahme des Bundesrates vom 16. Februar 1994 Rapport écrit du Conseil fédéral du 16 février 1994 Les raisons qui ont incité le peuple suisse à inscrire l'interdic- tion de l'absinthe dans la Constitution fédérale sont d'ordre historique. En Suisse, les avis divergent quant à la portée de cette disposition sur la plan de la santé. Présentement, l'Union européenne ne connaît aucune réglementation concernant l'absinthe. La plupart des pays membres interdisent cette boisson. C'est pourquoi, dans le contexte actuel, une discus- sion au sujet de cet article constitutionnel relatif à l'absinthe n'a pas sa place parmi les affaires prioritaires de la politique de la Confédération. En revanche, rien ne s'oppose à ce que la question soit relancée lors d'une révision totale de la Constitu- tion fédérale ou dans la perspective d'un rapprochement de la Suisse et de l'Union européenne. Schriftliche Erklärung des Bundesrates Déclaration écrite du Conseil fédéral Le Conseil fédéral propose de transformer la motion en pos- tulat Überwiesen als Postulat - Transmis comme postulat</w:t>
      </w:r>
    </w:p>
    <w:p>
      <w:r>
        <w:t>Schweizerisches Bundesarchiv, Digitale Amtsdruckschriften Archives fédérales suisses, Publications officielles numérisées Archivio federale svizzero, Pubblicazioni ufficiali digitali Motion Keller Rudolf Teilprivatisierung des Strafvollzuges Motion Keller Rudolf Exécution des peines. Privatisation partielle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94.3109 Numéro d'objet Numero dell'oggetto Datum 17.06.1994 - 08:00 Date Data Seite 1177-1178 Page Pagina Ref. No</w:t>
      </w:r>
    </w:p>
    <w:p>
      <w:r>
        <w:rPr>
          <w:b/>
        </w:rPr>
        <w:t>E. 20</w:t>
      </w:r>
    </w:p>
    <w:p>
      <w:r>
        <w:t>024 164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