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94.3101 vom 17. Juni 1994</w:t>
      </w:r>
    </w:p>
    <w:p>
      <w:r>
        <w:t>Bundesverwaltung, 1994-06-17, DE</w:t>
      </w:r>
    </w:p>
    <w:p>
      <w:r>
        <w:rPr>
          <w:b/>
        </w:rPr>
        <w:t xml:space="preserve">Quelle: </w:t>
      </w:r>
      <w:r>
        <w:t>https://mcp.opencaselaw.ch/entscheid/ch_vb_94.3101</w:t>
      </w:r>
    </w:p>
    <w:p>
      <w:r>
        <w:t>FR: CH_VB 94.3101 du 17 juin 1994</w:t>
      </w:r>
    </w:p>
    <w:p>
      <w:r>
        <w:t>IT: CH_VB 94.3101 del 17 giugno 1994</w:t>
      </w:r>
    </w:p>
    <w:p>
      <w:pPr>
        <w:pStyle w:val="Heading2"/>
      </w:pPr>
      <w:r>
        <w:t>Erwägungen</w:t>
      </w:r>
    </w:p>
    <w:p>
      <w:r>
        <w:rPr>
          <w:b/>
        </w:rPr>
        <w:t>E. 17</w:t>
      </w:r>
    </w:p>
    <w:p>
      <w:r>
        <w:t>Juni 1994 N 1213 Interpellation Jenni Peter Schriftliche Stellungnahme des Bundesrates vom 18. Mai 1994 Rapport écrit du Conseil fédéral du 18 mai 1994 Der Schutz der Bevölkerung und der Umwelt vor schweren Schäden infolge von Störfällen beim Transport gefährlicher Güterauf Eisenbahnanlagen ist in der Verordnung vom 27. Fe- bruar 1991 über den Schutz vor Störfällen (Störfallverordnung, StFV, SR 814.012) geregelt. 1. Die Ereignisse vom 8. März in Zürich-Affoltern haben erneut gezeigt, dass ein hochentwickeltes und komplexes Transport- system besondere Risiken hervorruft Diese Risiken sind in je- dem Fall ernst zu nehmen und mit allen geeigneten und ver- fügbaren Mitteln zu verringern. Die Störfallverordnung fordert, dass die mit dem Transport von gefährlichen Gütern verbundenen Risiken stufenweise erho- ben werden. In einem ersten Schritt haben die SBB zu diesem Zweck sogenannte Kurzberichte erarbeitet. Die dem Bundes- amt für Verkehr bisher eingereichten Kurzberichte der SBB- Strecken wurden den Kantonen zur Stellungnahme unterbrei- tet Aufgrund dieser Grundlageninformation werden gesamt- schweizerisch die Risikoschwerpunkte herausgearbeitet Er- gibt die Beurteilung, dass die ergriffenen oder vorgesehenen Sicherheitsmassnahmen möglicherweise nicht genügen, müssen durch die SBB in einem zweiten Schritt detaillierte Risikoermittlungen vorgenommen werden. Daraus hat das Bundesamt für Verkehr als Vollzugsbehörde unter Einbezug der Stellungnahmen der Kantone zu beurteilen, ob das Risiko für die Bevölkerung oder die Umwelt tragbar ist. Ist dem nicht so, ordnet die Vollzugsbehörde zusätzliche Sicherheitsmass- nahmen an. Wenn nötig hat der Bundesrat die Anordnung der Massnahmen zu koordinieren. Die Kantone können verfüg- bare Informationen jederzeit bei der Vollzugsbehörde an- fordern. 2. Die Zusammenarbeit zwischen dem Bundesamt für Verkehr als Vollzugsbehörde und den Kantonen ist durch den Ablauf des Vollzugs der Störfallverordnung gegeben. So haben die Kantone Gelegenheit, zu den von den SBB eingereichten Kurzberichten Stellung zu nehmen. Ein analoges Vorgehen ist bei der Prüfung und Beurteilung allfälliger Risikoermittlungen vorgesehen. Im Rahmen von periodisch stattfindenden Veran- staltungen werden die Fachstellen der Kantone durch den Bund über den Stand des Vollzugs der Störfallverordnung in- formiert und in die Problemlösung mit einbezogen. Der Bun- desrat misst der Zusammenarbeit zwischen Bund und Kanto- nen in diesen Fragen eine grosse Bedeutung zu. Nur so kann die komplexe Problematik effizient bearbeitet werden. 3. Derzeit liegen dem Bundesamt für Verkehr Informationen der SBB über den Transport gefährlicher Güter auf Stufe Kurz- bericht vor. Die Kurzberichte der Strecke Basel-Olten- Chiasso sind den Kantonen und der Fachstelle des Bundes (Buwal) zur Stellungnahme unterbreitet worden. Aufgrund die- ser Stellungnahmen wurden die SBB aufgefordert, diese Kurz- berichte in einigen Punkten zu ergänzen, damit sie alle für die Beurteilung notwendigen Angaben enthalten. Im Laufe des Sommers werden sich die Kantone und die Fachstelle des Bundes erneut zu den ergänzten Kurzberichten äussern kön- nen. Anschliessend werden die Kurzberichte durch das Bun- desamt für Verkehr geprüft. Die Beurteilung wird Aufschluss darübergeben, wo tiefergehende Untersuchungen (Risikoer- mittlungen) und allenfalls weiter gehende Sicherheitsmass- nahmen vorzusehen sind. 4. Bevor allfällige Lehren und Konsequenzen aus dem Unfall in Zürich-Affoltern gezogen werden können, muss die genaue Unfallursache untersucht werden. Die SBB werden hierzu ei- nen Untersuchungsbericht verfassen und der Vollzugsbe- hörde einreichen. Nach ersten Erkenntnissen stehen die Un- fälle von Stein-Säckingen und Zürich-Affoltern in keinem ur- sächlichen Zusammenhang. Aufgrund der Art des Unfalls in Zürich-Affoltern besteht für die SBB kein unmittelbarer Hand- lungsbedarf. Die SBB müssen ungeachtet der laufenden Unfalluntersu- chungen eigenverantwortlich alle zur Verminderung des Risi- kos geeigneten Massnahmen treffen, die nach dem Stand der Sicherheitstechnik verfügbar und wirtschaftlich tragbar sind. Von seilen des Bundes wird eine Harmonisierung des Sicher- heitsniveaus über das gesamte schweizerische Eisenbahn- netzangestrebt Zu beachten sind hierzu besonders auch Ent- wicklungen im Ausland sowie internationale Übereinkommen. Die SBB beabsichtigen, ihr Netz der Zugüberwachungsein- richtungen wo nötig zu ergänzen. Eine mobile Gefahrengut- equipe der SBB überprüft stichprobenweise die Einhaltung der Vorschriften über den Transport gefährlicher Güter. Auch haben die SBB das Konzept zur Gefahrengutausbildung ihres Personals weiterentwickelt. Die stufengerechte Ausbildung des Personals ist zurzeit eine zentrale Massnahme zur Vermin- derung des Risikos beim Transport gefährlicher Güter. 5. Derzeit prüfen die SBB gesamtschweizerisch die Beschaf- fung von sechs weiteren Lösch- und Rettungszügen, von de- nen einer im Raum Basel, allenfalls im Rangierbahnhof Mut- tenz, stationiert werden soll. Im Rangierbahnhof von Muttenz kommen gemäss geltender Einsatzplanung der SBB im Ereig- nisfall zuerst der örtliche Wehrdienst und die in unmittelbarer Nähe stationierte Chemiewehr zum Einsatz. Im Bedarfsfall werden zusätzliche Wehrdienste aufgeboten, so auch die Lösch- und Rettungszüge der SBB aus Ölten und Delémont Die SBB sind bezüglich Einsatzplanung für Störfälle zur Zu- sammenarbeit mit den öffentlichen Ereignisdiensten verpflich- tet. Es ist Aufgabe der Kantone, die Ereignisdienste mit der Einsatzplanung der SBB zu koordinieren. Erklärung des Interpellanten: teilweise befriedigt Déclaration de l'interpellateur: partiellement satisfait #ST# 94.3063 Interpellation Jenni Peter Volksabstimmungen. Wortlaut von Stimmzettel und Botschaft Votations populaires. Formulation du bulletin de vote et du message Wortlaut der Interpellation vom 1. März 1994 Mit Vorstössen und Fragen von Parlamentariern kam der Un- mut der Bevölkerung über den Wortlaut von Volksabstimmun- gen bereits mehrere Male zum Ausdruck. Bei der Abstimmung vom 28. November 1993, «Bundesbe- schluss über die Finanzordnung», wurde zum Beispiel be- mängelt, dass das gebräuchliche Wort «Mehrwertsteuer» auf dem Stimmzettel fehlte. Auch am 20. Februar 1994 war das im Volksmund gebräuchliche Wort «Autobahnvignette» auf dem Stimmzettel nicht zu finden. Abstimmungen sollen der Bevölkerung so einfach wie mög- lich gemacht werden; deshalb wäre es angebracht, diese Er- gänzungen mindestens in Klammern auf dem Stimmzettel und in der Botschaft anzubringen. Am 12. Juni 1994 wird über das Bundesgesetz über schweize- rische Truppen für friedenserhaltende Operationen abge- stimmt Von den Medien und Politikern wird nur von «Blauhel- men» gesprochen. Es wäre deshalb unverantwortlich, wenn dieser Ausdruck auf dem Stimmzettel wieder fehlen würde. Ich bitte Sie deshalb, mir mitzuteilen, ob Sie bereit sind, die Er- gänzung «Uno-Blauhelme» auf dem Stimmzettel und in der Botschaft mindestens in Klammern anzubringen. Texfe de l'interpellation du 1er mars 1994 De nombreuses interventions et questions des députés ont déjà fait état du mécontentement de la population concernant les textes figurant sur les bulletins de vote. Lors de la votation du 28 novembre 1993 relative à l'arrêté fé- déral sur le régime financier, de nombreuses personnes se sont plaintes de ne pas trouver sur les bulletins de vote le terme pourtant courant de «TVA». Lors de la votation du</w:t>
      </w:r>
    </w:p>
    <w:p>
      <w:r>
        <w:t>Schweizerisches Bundesarchiv, Digitale Amtsdruckschriften Archives fédérales suisses, Publications officielles numérisées Archivio federale svizzero, Pubblicazioni ufficiali digitali Interpellation Keller Rudolf Rangierbahnhof Muttenz und SBB-Transportrisikoanalyse Interpellation Keller Rudolf Gare de triage de Muttenz. Analyse des risques par les CFF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94.3101 Numéro d'objet Numero dell'oggetto Datum 17.06.1994 - 08:00 Date Data Seite 1212-1213 Page Pagina Ref. No</w:t>
      </w:r>
    </w:p>
    <w:p>
      <w:r>
        <w:rPr>
          <w:b/>
        </w:rPr>
        <w:t>E. 20</w:t>
      </w:r>
    </w:p>
    <w:p>
      <w:r>
        <w:t>024 209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