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94.3074 vom 17. Juni 1994</w:t>
      </w:r>
    </w:p>
    <w:p>
      <w:r>
        <w:t>Bundesverwaltung, 1994-06-17, DE</w:t>
      </w:r>
    </w:p>
    <w:p>
      <w:r>
        <w:rPr>
          <w:b/>
        </w:rPr>
        <w:t xml:space="preserve">Quelle: </w:t>
      </w:r>
      <w:r>
        <w:t>https://mcp.opencaselaw.ch/entscheid/ch_vb_94.3074</w:t>
      </w:r>
    </w:p>
    <w:p>
      <w:r>
        <w:t>FR: CH_VB 94.3074 du 17 juin 1994</w:t>
      </w:r>
    </w:p>
    <w:p>
      <w:r>
        <w:t>IT: CH_VB 94.3074 del 17 giugno 1994</w:t>
      </w:r>
    </w:p>
    <w:p>
      <w:pPr>
        <w:pStyle w:val="Heading2"/>
      </w:pPr>
      <w:r>
        <w:t>Erwägungen</w:t>
      </w:r>
    </w:p>
    <w:p>
      <w:r>
        <w:rPr>
          <w:b/>
        </w:rPr>
        <w:t>E. 17</w:t>
      </w:r>
    </w:p>
    <w:p>
      <w:r>
        <w:t>juin 1994 sein können. So kann hinter beinahe jeder vordergründig so- matischen Krankheit ein wichtiger psychischer oder psycho- sozialer Faktor stehen. Dies gilt insbesondere für Krankheiten aus dem rheumatischen Formenkreis, für chronische Atem- wegerkrankungen (Asthma bronchiale), chronische Darm- erkrankungen (Colitis ulcerosa, Magenulcera), aber auch für Herz-/Kreislauferkrankungen und Beschwerden nach Un- fällen. Dieses Wechselspiel zwischen somalischen, psychischen und sozialen Faktoren bei chronischen Leiden macht Schät- zungen über Folgekosten, insbesondere was die Arbeitsaus- fälle und die Inanspruchnahme medizinischer Leistungen an- betrifft, zu einem heiklen und bis heute noch nicht befriedi- gend gelösten Unterfangen. Ein weiterer erschwerender Fak- tor ist die dezentrale Struktur des Gesundheitswesens in der Schweiz. Im Bereich der Invalidenversicherung lassen sich immerhin gewisse Tendenzen erkennen. So haben die Rentenfälle auf- grund psychischer Erkrankungen und solcher der Knochen und Bewegungsorgane in den Jahren 1986 bis 1991 am stärk- sten zugenommen. Aufgrund von Studien eines National- fondsprojektes darf angenommen werden, dass sich gerade hinter der zweiten Gruppe eine grosse Zahl psychosomatisch beeinflusster Krankheitsverläufe verbergen. 2. Der Bundesrat erkennt grundsätzlich die Notwendigkeit an, der Zunahme psychosomatischer Faktoren, die zu chroni- schen Krankheitsverläufen führen, zu begegnen. Zweifellos muss der Erforschung der Ursachen erhöhtes Ge- wicht beigemessen werden. Dem Bund steht hierzu das In- strument des Nationalfonds zur Verfügung. Zu den wichtigen exogenen Faktoren wie Umwelteinflüsse und soziale Stressoren gesellt sich das Versagen der zur Ver- fügung stehenden Bewältigungsstrategien des Individuums bei Überforderung. Die Prävention psychosomatischer Krank- heiten muss deshalb einerseits an den «Umweltfaktoren» an- setzen (sog. Verhältnisprävention, beispielsweise Reduktion der Arbeitslosigkeit), andererseits die individuelle Kompetenz zur Bewältigung von Stress und Belastung verbessern (Ver- haltensprävention, beispielsweise durch Vermittlung geeigne- ter Entspannungstechniken). In gewissen Bereichen (Aids, Drogen) wird in der Prävention mit Bundesmitteln dieser dop- pelte, gesellschaftliche und individuelle Ansatz verfolgt Allerdings fehlt zurzeit eine genügende gesetzliche Grund- lage, die es dem Bund erlauben würde, über die Bereiche der Infektionskrankheiten und des Strahlenschutzes hinaus in der Krankheitsverhütung aktiv zu werden. Immerhin laufen derzeit verwaltungsintern Vorarbeiten für eine Totalrevision des Epi- demiengesetzes, die diesem gesetzgeberischen Defizit Rech- nung tragen wird. Das neue, am 18. März 1994 verabschiedete Krankenversi- cherungsgesetz enthält in Artikel 19f. die notwendigen Be- stimmungen, die es dem Bund erlauben, die Massnahmen zur Förderung der Gesundheit bzw. Verhütung von Krankheiten zu beeinflussen. 3. Der Bundesrat teilt die Ansicht der Interpellantin, dass die frühzeitige Berücksichtigung psychosomatischer Faktoren in der Regel finanziell weit günstiger ist als der traditionelle Weg über die zahlreichen somalischen Untersuchungsmethoden. Im Rahmen des sich in der heutigen Medizin zunehmend durchselzenden umfassenden, ganzheillichen Modells eines «biopsychosozialen» Gesundheitsbegriffes ist es notwendig, dass der psychische und soziale Hintergrund jedes einzelnen Palienlen und jeder einzelnen Palienlin von Anfang an in die Untersuchung einbezogen und ernsl genommen wird. Dies sollte in erster Linie Aufgabe der behandelnden Ärzte und Ärz- tinnen sein. Die vertrauensärzllichen Dienste sowohl der Kran- kenversicherung als auch der Invalidenversicherung hatten bisher in erster Linie die Aufgabe, die Versicherer über die Lei- stungspflicht und die Festsetzung bzw. Begründung einer Ver- gütung zu beraten. Es ist indes in Anbetracht der postulierten Erfordernisse notwendig, dass auch sie vermehrt und frühzei- tig in den diagnostischen Entscheidungsprozess einbezogen werden. Auch dazu enthält das neue Krankenversicherungsgesetz in Artikel 57 die notwendigen Bestimmungen. Insbesondere gibt Absatz 8 dem Bund die Möglichkeit, auf die Weiterbildung der Vertrauensärzte und -ärztinnen Einfluss zu nehmen. Bei der Invalidenversicherung ist im Rahmen der bestehenden Bestimmungen darauf zu achten, dass die Anmeldung zum Leistungsbezug zu einem möglichst frühen Zeitpunkt erfolgt, in welchem eine Einflussnahme auf den Verlauf der Krankheit noch möglich ist 4. Die Ziele der Grundausbildung derÄrzte und Ärztinnen sind in der Verordnung über die Prüfung für Ärzte und Ärztinnen festgelegt. Die Gestaltung der Ausbildung liegt in den Händen der medizinischen Fakultäten der kantonalen Hochschulen. Der Bundesrat ist der Ansicht, dass diese Ziele periodisch zu überprüfen und anzupassen sind. Er begrüsst deshalb aus- drücklich die von der Schweizerischen Medizinischen Interfa- kultätskommission begonnenen Arbeiten an einer Ausbil- dungsreform (mit Einschluss der Ausbildungsziele). Seit 1982 figuriert die Disziplin «Psychosoziale Medizin» im Lehrplan des Medizinstudiums als Prüfungsfach. Darin werden die psycho- somatischen Lehrinhalte während des Studiums vermittelt In- zwischen gibt es eine grosse Zahl von Spezialisten und Spe- zialistinnen, die in insgesamt 36 in einem nationalen Verzeich- nis der psychosomatisch-psychotherapeutisch tätigen Abtei- lungen eingetragenen Institutionen tätig sind. Es ist innerhalb der Fachgesellschaften ein wachsender Konsens spürbar, dass psychosoziales Wissen und entsprechende Fertigkeiten zur ärztlichen Tätigkeit gehören. Der Bundesrat verfolgt diese Entwicklung aufmerksam, insbesondere was die Phase der spezialärztlichen Weiterbildung betrifft Letztere unterliegt der Weiterbildungsordnung (WBO), deren Grundsätze durch die Weiterbildungskonferenz festgelegt werden. Es ist deren Aufgabe und die des sie beratenden Or- gans, der Kommission für Weiter- und Fortbildung, für eine den zeit- und sachgemässen Erfordernissen der ärztlichen Be- rufsausübung angepasste Weiterbildung zu sorgen. Inzwi- schen ist die Schweizerische Sanitätsdirektorenkonferenz mit dem Antrag an den Bund herangetreten, eine staatliche Rege- lung der Weiterbildung der Medizinalberufe (inklusive Aus- und Weiterbildung der Chiropraktoren und Chiropraktorinnen sowie der nichtärztlichen Psychotherapeuten und -therapeu- tinnen) anzustreben. Eine vom Departement des Innern einge- setzte Arbeitsgruppe ist gegenwärtig daran, diesbezügliche Lösungsvorschläge zu erarbeiten. 5. Die IV ist eine Versicherung, welche ihre Leistungen bei Ein- tritt der Invalidität erbringt Präventive Massnahmen sind im Rahmen des IV-Gesetzes nicht vorgesehen, eine Ermächti- gung dazu ist also nur über eine Gesetzesänderung möglich. Der Bundesrat wird indessen die Problematik der Prävention innerhalb der IV-Gesetzgebung im Auge behalten. Sie wird mit Gegenstand künftiger Diskussionen um die Sozialversiche- rungsgesetzgebung sein. 6. Die Bereitstellung von Therapieangeboten liegt in der Kom- petenz der Kantone. Zur Realisierung der notwendigen Ver- besserungen ist deshalb die enge Zusammenarbeit von Bund und Kantonen notwendig. Der Bundesrat ist bestrebt, den Kantonen entsprechende Empfehlungen zu geben, die sich auf Forschungsergebnisse der Sozial- und Präventivmedizin der Hochschulen und des Schweizerischen Nationalfonds ab- stützen. Erklärung der Interpellantin: befriedigt Déclaration de l'interpellatrice: satisfaite</w:t>
      </w:r>
    </w:p>
    <w:p>
      <w:r>
        <w:t>Schweizerisches Bundesarchiv, Digitale Amtsdruckschriften Archives fédérales suisses, Publications officielles numérisées Archivio federale svizzero, Pubblicazioni ufficiali digitali Interpellation Hafner Ursula Krankheitsbedingte IV-Renten Interpellation Hafner Ursula Allocation de rentes AI en cas de maladie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94.3074 Numéro d'objet Numero dell'oggetto Datum 17.06.1994 - 08:00 Date Data Seite 1219-1220 Page Pagina Ref. No</w:t>
      </w:r>
    </w:p>
    <w:p>
      <w:r>
        <w:rPr>
          <w:b/>
        </w:rPr>
        <w:t>E. 20</w:t>
      </w:r>
    </w:p>
    <w:p>
      <w:r>
        <w:t>024 215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