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94.3064 vom 17. Juni 1994</w:t>
      </w:r>
    </w:p>
    <w:p>
      <w:r>
        <w:t>Bundesverwaltung, 1994-06-17, DE</w:t>
      </w:r>
    </w:p>
    <w:p>
      <w:r>
        <w:rPr>
          <w:b/>
        </w:rPr>
        <w:t xml:space="preserve">Quelle: </w:t>
      </w:r>
      <w:r>
        <w:t>https://mcp.opencaselaw.ch/entscheid/ch_vb_94.3064</w:t>
      </w:r>
    </w:p>
    <w:p>
      <w:r>
        <w:t>FR: CH_VB 94.3064 du 17 juin 1994</w:t>
      </w:r>
    </w:p>
    <w:p>
      <w:r>
        <w:t>IT: CH_VB 94.3064 del 17 giugno 1994</w:t>
      </w:r>
    </w:p>
    <w:p>
      <w:pPr>
        <w:pStyle w:val="Heading2"/>
      </w:pPr>
      <w:r>
        <w:t>Erwägungen</w:t>
      </w:r>
    </w:p>
    <w:p>
      <w:r>
        <w:rPr>
          <w:b/>
        </w:rPr>
        <w:t>E. 17</w:t>
      </w:r>
    </w:p>
    <w:p>
      <w:r>
        <w:t>juin 1994 schaftlichen Nutzflächen bleibt die Sicherung der FFF das vor- rangige Ziel einer langfristig orientierten, vorausschauenden Politik. Soweit die FFF für die Ernährungssicherung zu dienen haben, ist es nicht erforderlich, dass diese Flächen heute schon für die intensive landwirtschaftliche Produktion genutzt werden. Es ist gerade ein Merkmal dieser Massnahme, dass sie ihre Wirkung erst dann entfalten muss, wenn tatsächlich mehr Nahrungsmittelkalorien auf unserem eigenen Boden zu erzeugen sind. Aus diesem Grunde ist es nicht gerechtfertigt, das Ausmass der FFF auf die Bedürfnisse der heutigen Welt- handelslage auszurichten oder gar zu redimensionieren. FFF sind überwiegend in der Landwirtschaftszone. Diese Landwirtschaftszone hat nach RPG auch weiteren Zwecken zu dienen, so der Trennung von Siedlungsgebieten, der Erhal- tung der Landschaft und des Erholungsraumes, dem Schutz der Grundwassergebiete sowie dem ökologischen Ausgleich. Die Zuweisung von Gebieten in eine Landwirtschaftszone muss deshalb immer im Rahmen einer umfassenden Inter- essenabwägung erfolgen. Eine Redimensionierung von Bau- zonen ausschliesslich oder überwiegend aus Gründen der Si- cherung der FFF wäre deshalb einseitig und widerspräche dem raumplanerischen Gebot des Interessenausgleichs. In der Praxis wird übrigens die Landwirtschaftszone in der Regel durch die Bauzonen bestimmt und nicht umgekehrt 3. Die Motion Miesch (93.3596) hat zum Ziel, die Bauzonen zu erweitern. Bauzonenreserven und Nutzungsreserven inner- halb von Bauzonen sind gesamtschweizerisch mehr als aus- reichend vorhanden. Lokal können die Verhältnisse allerdings unterschiedlich sein. Die Kantone und Gemeinden sind je- doch in der Regel in der Lage, auch kommende bauliche Nut- zungsbedürfnisse zu befriedigen. Ob die Baulandeigentümer hingegen auch bereit sind, das vom Gemeinwesen erschlos- sene Bauland auf den Markt zu bringen oder selber zu über- bauen, ist allerdings ein anderes - und nach Ansicht des Bun- desrates bisher leider noch nicht gelöstes - Problem. Es gibt neben planungsrechtlichen durchaus auch marktwirtschaftli- che Instrumente, um das Baulandangebot zu verflüssigen. Der Bundesrat hat keine Anordnung zu Auszonungen erteilt Er wird dies in Respektierung der gegebenen Zuständigkeiten auch in Zukunft nicht tun. Er wäre dazu auch gar nicht in der Lage, gibt es doch für ihn keine Möglichkeit, Nutzungspläne der Gemeinden zu überprüfen. Der Bundesrat wird dem Parla- ment demnächst eine erste Teilrevision des RPG vorschlagen, die es dem Grundeigentümer gestatten soll, sein Bauland sel- ber zu erschliessen, wenn die Gemeinde säumig ist Gleich- zeitig sollen im Rahmen der (geringen) Möglichkeiten des Bundes auch Vorgaben für die Beschleunigung der Bewilli- gungsverfahren erlassen werden. Darüber hinaus sieht der Bundesrat, entsprechend seinen Anstrengungen zur Deregu- lierung, keine weiteren Massnahmen zur Verflüssigung des Baulandmarktes mehr vor. Präsidentin: Der Interpellant ist von der Antwort des Bundes- rates nicht befriedigt und verlangt Diskussion. Abstimmung - Vote Für den Antrag auf Diskussion Dagegen Verschoben - Renvoyé offensichtliche Mehrheit Minderheit #ST# 94.3092 Interpellation Aguet Gesellige Anlässe beim Militär. Finanzierung Financement des «boums» de l'armée Wortlaut der Interpellation vom 9. März 1994 Der Bundesrat und die eidgenössischen Räte haben be- schlossen, die Armee zu reorganisieren und die Milliarden, die sie ausgibt, vor allem für hochentwickeltes Ausrüstungsmate- rial - besonders berühmt ist der F/A-18 - einzusetzen. Ist das Grund genug, dass die Armee bei den Gemeinden auf Bettel- tour geht, um kleinere und grössere Feste zu organisieren? So wird sich Oberstdivisionär Philippe Zeller nächstens von seiner Division verabschieden müssen. Die ihm unterstellten Wehrmänner werden auf die Panzerbrigaden 1 und 2 aufge- teilt Damit die epochalen Leistungen der Mechanisierten Divi- sion 1 in der Geschichte verankert bleiben (....) und ihr Geist die Schlachtkommandos überdauert, sind für den 3. Dezem- bergrosse Feierlichkeiten angesagt Die Ausgaben für die Feierlichkeiten übersteigen die finanziel- len Mittel, die der Division zur Verfügung stehen. Die Gemein- den, in denen die Soldaten dieser Division ihre Steuern zah- len, sind darum mit einem Schreiben vom 14. Januar zur Kasse gebeten worden. Diese Einladung scheint mir fehl am Platz, und ich stelle deshalb dem Bundesrat folgende Fragen: 1. Stützt sich der Kommandant der Mechanisierten Division 1 auf eine gängige Praxis, wenn er bei den Gemeinden betteln geht, um ein Abschiedsfest zu organisieren? 2. Müssen die Gemeinden in ihr Budget eine Rubrik «Militär» oder «Landesverteidigung» aufnehmen, falls sich solche Begehren, auch im Gefolge der Reorganisation der Armee, häufen? 3. Die angesagte Veranstaltung wird als wichtig eingestuft Wie wird sie aussehen? 4. Werden die Soldaten eingeladen, oder ist es nichts weiter als ein Treffen für Offiziere? 5. Wie hoch ist das Budget der Veranstaltung, und welches sind die Gratisdienstleistungen, welche die Armee und allfäl- lige andere Sponsoren für das Fest erbringen? 6. Welche bleibenden, die Geschichte prägenden Leistungen hinterlässt die Mechanisierte Division 1 ? 7. Welches ist der Geist, der die künftigen Schlachtkomman- dos überdauern soll? Texte de l'interpellation du 9 mars 1994 Le Conseil fédéral et les Chambres ont décidé de réorganiser l'armée et de consacrer les milliards qu'elle dépense prioritai- rement à des équipements sophistiqués dont les plus célè- bres sont les F/A-18. Est-ce une raison suffisante pour que l'ar- mée se fasse mendiante et s'adresse aux communes pour or- ganiser ses grandes et petites «boums»? Ainsi le divisionnaire Philippe Zeller va devoir lâcher sa division et les hommes qui sont sous son commandement seront ré- partis dans les brigades blindées 1 et 2. Afin que l'empreinte de la division mécanisée 1 demeure gravée dans l'histoire (....) et que son esprit survive aux ordres de bataille, une grande cé- rémonie est prévue pour le 3 décembre. L'investissement dépasse les moyens financiers à disposition de la division. Les communes où les citoyens soldats de cette division paient leurs impôts sont donc priées de passer à la caisse par une lettre du 14 janvier dernier. Cette demande me semble abusive, et je pose dès lors au Conseil fédéral les questions suivantes: 1. Est-ce en référence à une pratique généralisée que le com- mandant de la division mécanisée 1 se permet de quémander des appuis financiers auprès des communes pour organiser une fête d'adieu?</w:t>
      </w:r>
    </w:p>
    <w:p>
      <w:r>
        <w:t>Schweizerisches Bundesarchiv, Digitale Amtsdruckschriften Archives fédérales suisses, Publications officielles numérisées Archivio federale svizzero, Pubblicazioni ufficiali digitali Interpellation Reimann Maximilian Auswirkungen des Gatt-Abkommens auf die schweizerische Raumplanung Interpellation Reimann Maximilian Aménagement du territoire. Incidences de l'Accord du Gatt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94.3064 Numéro d'objet Numero dell'oggetto Datum 17.06.1994 - 08:00 Date Data Seite 1231-1232 Page Pagina Ref. No</w:t>
      </w:r>
    </w:p>
    <w:p>
      <w:r>
        <w:rPr>
          <w:b/>
        </w:rPr>
        <w:t>E. 20</w:t>
      </w:r>
    </w:p>
    <w:p>
      <w:r>
        <w:t>024 224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