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94.3056 vom 17. Juni 1994</w:t>
      </w:r>
    </w:p>
    <w:p>
      <w:r>
        <w:t>Bundesverwaltung, 1994-06-17, DE</w:t>
      </w:r>
    </w:p>
    <w:p>
      <w:r>
        <w:rPr>
          <w:b/>
        </w:rPr>
        <w:t xml:space="preserve">Quelle: </w:t>
      </w:r>
      <w:r>
        <w:t>https://mcp.opencaselaw.ch/entscheid/ch_vb_94.3056</w:t>
      </w:r>
    </w:p>
    <w:p>
      <w:r>
        <w:t>FR: CH_VB 94.3056 du 17 juin 1994</w:t>
      </w:r>
    </w:p>
    <w:p>
      <w:r>
        <w:t>IT: CH_VB 94.3056 del 17 giugno 1994</w:t>
      </w:r>
    </w:p>
    <w:p>
      <w:pPr>
        <w:pStyle w:val="Heading2"/>
      </w:pPr>
      <w:r>
        <w:t>Erwägungen</w:t>
      </w:r>
    </w:p>
    <w:p>
      <w:r>
        <w:rPr>
          <w:b/>
        </w:rPr>
        <w:t>E. 17</w:t>
      </w:r>
    </w:p>
    <w:p>
      <w:r>
        <w:t>Juni 1994 N 1177 Motion Keller Rudolf Der Motionär verlangt nun, mit einer Teilrevision des RPG solle dafür gesorgt werden, dass weiterhin planungs- und bau- rechtliche Vorentscheide in einem schnellen Verfahren und mit verbindlicher Wirkung im Verhältnis zum Gesuchsteller möglich bleiben. Er verweist dazu auf die zunehmend wach- senden Projektierungskosten. Das Anliegen erscheint berech- tigt. Es deckt sich mit der Zielsetzung des Bundesrates, mit ei- ner Teilrevision des Raumplanungsgesetzes eine möglichst weitgehende Vereinfachung, Beschleunigung und Koordina- tion der Bewilligungsverfahren für Bauten und Anlagen zu er- reichen. Der Bundesrat ist jedoch aus den folgenden Gründen der Ansicht, dass für Vorentscheide in einem schnellen Verfah- ren und mit verbindlicher Wirkung im Verhältnis zum Gesuch- steller eine Revision von Artikel 33 Absatz 3 RPG weder not- wendig noch sinnvoll sei, dass hingegen zu diesem Zweck im Rahmen der Totalrevision des Bundesrechtspflegegesetzes (OG) eine Revision von Artikel 87 OG zu prüfen sei: - Die Beratung Bauwilliger ist eine wichtige Aufgabe, welche dem Gesuchsteller hilft, die Bewilligungsfähigkeit seines Vor- habens abzuschätzen. Sie kann auch dazu beitragen, dass die Qualität der Baugesuche gesteigert und der Anteil an Ge- suchen, welche abgewiesen werden müssen, gesenkt wer- den. Für eine solche Beratung braucht es jedoch kein formali- siertes Verfahren, insbesondere keines mit einer beschränk- ten Bindungswirkung. Die zusätzliche Sicherheit für den Ge- suchsteller fliesst diesfalls nicht aus einer unzulässigen, frü- hen rechtlichen Bindung, sondern aus dem in die Auskunft einfliessenden Sachwissen der Behörden. - Reicht die durch eine Rechtsauskunft gewonnene Sicher- heit dem Gesuchsteller nicht aus, so besteht die Möglichkeit, Grundsatzfragen rechtskräftig zu klären, bevor ein dafür unnö- tiger Projektierungsaufwand betrieben wurde. Damit kann das Risiko erheblich gesenkt werden, dass Projekte, denen eine teure Detailplanung vorausgegangen ist, im Baubewilligungs- verfahren scheitern. Vor- oder Grundsatzentscheide - unter Beteiligung beschwerdeberechtigter Dritter - erfüllen diese Funktion. Aus bundesrechtlicher Sicht besteht nach gelten- dem Recht nur die Einschränkung, dass im Verfahren der staatsrechtlichen Beschwerde die Anfechtung von Zwischen- entscheiden (positive Vorentscheide gelten praxisgemäss als solche Zwischenentscheide) nicht in jedem Fall möglich ist (Art. 87 OG). Eine Lockerung brächte einerseits zusätzliche Si- cherheit für Baugesuchsteller, würde andererseits aber das bereits heute massiv überlastete Bundesgericht zusätzlich be- lasten. Der Bundesrat ist bereit, die Frage im Rahmen der To- talrevision des OG zu prüfen. - Vorentscheide ohne Einbezug beschwerdeberechtigter Drit- ter mit Bindungswirkung zwischen Gesuchsteller und Ent- scheidbehörde hingegen erscheinen - wie oben ausgeführt - nach der bundesgerichtlichen Rechtsprechung als verfas- sungswidrig. Auch wenn die Schweiz keine Verfassungsge- richtsbarkeit gegenüber Bundesgesetzen kennt, so ist der Bundesgesetzgeber doch an die Verfassung gebunden. Allfäl- lige Einsprecher haben den Anspruch, dass der Entscheid über ein Bauvorhaben offenbleibt, bis ihre Einsprache zur Kenntnis genommen worden ist. Damit verträgt sich keine vor- gängige rechtliche Bindung der Entscheidbehörde. - Vorentscheide ohne Einbezug beschwerdeberechtigter Drit- ter mit Bindungswirkung zwischen Gesuchsteller und Ent- scheidbehörde gäben dem Gesuchsteller keine genügende Sicherheit, solange beschwerdeberechtigte Dritte ihre Rechte in irgendeiner Form trotzdem noch geltend machen können. Der Einbezug Dritter in das Vorentscheidverfahren liegt daher auch im Interesse des Gesuchstellers. - MUSS für einzelne Teilentscheide zu den gleichen Rechtsfra- gen zweimal ein Verfahren durchgeführt werden - einmal un- ter Ausschluss der Einsprecher und einmal mit ihnen -, so wird die gesamte Verfahrensdauer unverhältnismässig verlän- gert, unter doppelter Belastung der Entscheidinstanzen. Der Einbezug Dritter in das Vorentscheidverfahren liegt auch aus diesem Grund im Interesse des Gesuchstellers und offensicht- lich auch im Interesse des effizienten Umgangs mit den Kapa- zitäten der Entscheidbehörden. Schriftliche Erklärung des Bundesrates Déclaration écrite du Conseil fédéral Der Bundesrat beantragt, die Motion in ein Postulat umzu- wandeln. Überwiesen als Postulat-Transmis comme postulat #ST# 94.3109 Motion Keller Rudolf Teilprivatisierung des Strafvollzuges Exécution des peines. Privatisation partielle Wortlaut der Motion vom 16. März 1994 Die Kantone müssen auch im Strafvollzugswesen entlastet werden. Der Bundesrat wird daher aufgefordert, dem Parla- ment eine Änderung des Strafgesetzbuches, Artikel 384, vor- zulegen, die es gestattet, in Zukunft den Strafvollzug in den Kantonen noch mehr als bisher möglich an private Institutio- nen zu delegieren. Texte de la motion du 16 mars 1994 Les cantons doivent être déchargés aussi dans le domaine de l'exécution des peines. Le Conseil fédéral est donc chargé de soumettre au Parlement une modification de l'article 384 du Code pénal de manière à permettre aux cantons de déléguer l'exécution des peines à des établissements privés dans une plus large mesure que cela n'a été le cas jusqu'ici. Mitunterzeichner-Cosignataires: Bischof, Borradori, Maspoli, Ruf, Stalder, Steffen (6) Schriftliche Begründung - Développement par écrit Im schweizerischen Strafvollzugswesen sind Anpassungen und Erneuerungen erforderlich. Die Untersuchungsgefäng- nisse und die Strafvollzugsanstalten sind überfüllt. Die Polizei kann ihre Aufgaben oft nur in unbefriedigender Art und Weise erfüllen, indem sie aus Platzgründen sogar die Verhaftung von Straftätern verzögern oder gar unterlassen muss. Aus Voll- zugsanstalten werden verurteilte Personen vorzeitig oder gar notentlassen. Der Bund delegiert das Strafvollzugswesen den Kantonen, die aber längst überfordert sind. Ihnen fehlen immer mehr die not- wendigen Finanzmittel und die erforderliche Flexibilität, um zeitgerecht handeln zu können. Zudem werden die Betriebs- defizite immer grösser. Anders ausgedrückt verbraucht das Strafvollzugswesen zu viele Steuergelder. In den USA delegieren die Bundesstaaten seit mehr als zehn Jahren den Strafvollzug zunehmend an private Unternehmun- gen. Eine umfassende Studie zeigt, dass diese Privatisierung sowohl in wirtschaftlicher als auch in menschlicher Hinsicht sehr erfolgreich ist. Aus der Strafvollzugsstatistik des Bundesamtes für Statistik sowie aus den Betriebsrechnungen verschiedener kantonaler Vollzugsanstalten ist zu entnehmen, dass 1991 der durch- schnittliche Vollzugstag 193 Franken kostete. Bei rund 900000 Aufenthaltstagen im Strafvollzug wurden 174 Millio- nen Franken Steuergelder verbraucht, wovon 61 Millionen Franken der Defizitdeckung dienten. Schriftliche Stellungnahme des Bundesrates vom 30. Mai 1994 Rapport écrit du Conseil fédéral du 30 mai 1994 Wie bereits aus der Antwort des Bundesrates auf die Interpella- tion Bortoluzzi vom 15. Dezember 1993 (93.3629, Privatisie- rung Strafvollzug) hervorgeht, können aufgrund von Arti-</w:t>
      </w:r>
    </w:p>
    <w:p>
      <w:r>
        <w:t>Schweizerisches Bundesarchiv, Digitale Amtsdruckschriften Archives fédérales suisses, Publications officielles numérisées Archivio federale svizzero, Pubblicazioni ufficiali digitali Motion Baumberger Teilrevision Raumplanungsgesetz (RPG). Baurechtliche Vorentscheide Motion Baumberger Révision partielle de la loi sur l'aménagement du territoire (LAT). Jugement préjudiciel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94.3056 Numéro d'objet Numero dell'oggetto Datum 17.06.1994 - 08:00 Date Data Seite 1176-1177 Page Pagina Ref. No</w:t>
      </w:r>
    </w:p>
    <w:p>
      <w:r>
        <w:rPr>
          <w:b/>
        </w:rPr>
        <w:t>E. 20</w:t>
      </w:r>
    </w:p>
    <w:p>
      <w:r>
        <w:t>024 163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