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94.3050 vom 13. Juni 1994</w:t>
      </w:r>
    </w:p>
    <w:p>
      <w:r>
        <w:t>Bundesverwaltung, 1994-06-13, DE</w:t>
      </w:r>
    </w:p>
    <w:p>
      <w:r>
        <w:rPr>
          <w:b/>
        </w:rPr>
        <w:t xml:space="preserve">Quelle: </w:t>
      </w:r>
      <w:r>
        <w:t>https://mcp.opencaselaw.ch/entscheid/ch_vb_94.3050</w:t>
      </w:r>
    </w:p>
    <w:p>
      <w:r>
        <w:t>FR: CH_VB 94.3050 du 13 juin 1994</w:t>
      </w:r>
    </w:p>
    <w:p>
      <w:r>
        <w:t>IT: CH_VB 94.3050 del 13 giugno 1994</w:t>
      </w:r>
    </w:p>
    <w:p>
      <w:pPr>
        <w:pStyle w:val="Heading2"/>
      </w:pPr>
      <w:r>
        <w:t>Erwägungen</w:t>
      </w:r>
    </w:p>
    <w:p>
      <w:r>
        <w:rPr>
          <w:b/>
        </w:rPr>
        <w:t>E. 13</w:t>
      </w:r>
    </w:p>
    <w:p>
      <w:r>
        <w:t>juin 1994 D'avance, je remercie le Conseil fédéral de la réponse qu'il me donnera Stich Otto, Bundespräsident: Der Übergang von der Waren- umsatzsteuer zur Mehrwertsteuer bedeutet einen Wechsel in der Erhebungsmethode, der bei den Einfuhren besonders spürbar ist Denn unter dem Regime der Warenumsatzsteuer haben die Steuerpflichtigen die Möglichkeit, Wiederverkaufs- waren und Werkstoffe gegen Abgabe ihrer Grossistenerklä- rung an das Einfuhrzollamt steuerfrei zu importieren. Der Mehrwertsteuer ist das System einer solchen Verwendungser- klärung fremd. Der Steuerpflichtige muss die Steuer der Zoll- verwaltung grundsätzlich schon im Zeitpunkt der Einfuhr ent- richten. Diese Einfuhrsteuer kann er später, d. h. im Rahmen der periodischen Steuerabrechnung mit der Steuerverwal- tung, als Vorsteuer abziehen, sie also von der Steuer, die er auf seinen eigenen Umsätzen schuldet, wieder in Abzug bringen, sofern er die eingeführten Gegenstände für eine steuerbare Tätigkeit verwendet. Nach dem geltenden Recht ist die Einfuhrsteuer innert 48 Stunden fällig. Zwischen der Entrichtung der Einfuhrsteuer an die Zollverwaltung und der Steuerabrechnung mit der Steuerverwaltung können aber einige Monate liegen, was zu einer zeitweiligen Kapitalbindung im Ausmass der bezahlten Einfuhrsteuer führt. Der Bundesrat teilt die Auffassung des In- terpellanten, wonach diese Kapitalbindung in jenen Fällen mit geeigneten Massnahmen zu verhindern ist, in denen die Steuer, die dem Bund definitiv zusteht-d. h. bei Verkäufen an inländische Endverbraucher -, nur einen kleinen Bruchteil der dem Zoll zu entrichtenden Steuer ausmacht Das ist insbeson- dere bei der Einfuhr hochwertiger Waren der Fall, ist doch un- ser Land namentlich dank dem geltenden Warenumsatz- steuer-System zu einem der wichtigsten Zentren für den Edel- stein- und Edelmetallhandel wie auch für den Kunst- und Anti- quitätenhandel geworden. Es gilt, die Abwanderung dieser sehr umworbenen Sparten des Welthandels zu vermeiden. Dazu kommt, dass in den meisten Fällen die Einfuhrabferti- gung durch Spediteure im Auftrag von Handels- und Fabrikati- onsfirmen besorgt wird. Als Einfuhrsteuerschuldner werden die Spediteure ebenfalls verpflichtet, der Zollverwaltung die Einfuhrsteuer innert 48 Stunden zu entrichten. Sie würden zwar diese Steuer an ihre Auftraggeber weiterfakturieren, müssten jedoch nicht nur eine beachtliche Kapitalbindung fi- nanzieren, sondern auch das Delkredererisiko ihrer Auftrag- geber übernehmen. Auch diese unnötigen und für die Spediti- onsbranche fatalen Konsequenzen sind zu vermeiden. Aus diesen Gründen sieht die Verordnung des Bundesrates folgende Lösung vor: Der steuerpflichtige Importeur, der re- gelmässig Waren einführt, soll befugt werden, auf Antrag über seine Umsätze monatlich statt vierteljährlich abzurechnen. An- derseits macht der Zoll beim Einfuhrsteuerpflichtigen zwar die Einfuhrsteuer geltend, räumt ihm aber für deren Tilgung eine Zahlungsfrist ein. Geht man davon aus, dass die Spediteure ihren Auftraggebern die Rechnung, die ja auch die geschul- dete Einfuhrsteuer miteinschliesst, mit einer Zahlungsfrist von 30 bis 40 Tagen stellen können, und rechnet man eine zusätz- liche Marge für etwaige Mahnungen ein, um die Einfuhrsteuer von den Auftraggebern auch tatsächlich erstattet zu erhalten, so ist die Zahlungsfrist für die Entrichtung der Einfuhrsteuer an die Zollverwaltung auf 60 Tage festzusetzen. Allerdings wird die Einräumung einer Zahlungsfrist mit der Pflicht verbunden, für die betreffenden Steuerbeträge Sicherheit zu leisten. Mit diesen verfahrensrechtlichen Massnahmen wird dem Anlie- gen des Interpellanten voll Rechnung getragen. Zwecks Förderung der Kompetitivität unseres Landes be- stimmt zudem Artikel 81 Buchstabe e der Mehrwertsteuer-Ver- ordnung, dass das Eidgenössische Finanzdepartement zu- ständig ist, für bestimmte Steuerpflichtige, die regelmässig hochwertige Gegenstände importieren und exportieren und regelmässig Vorsteuerüberschüsse aufweisen, ein verein- fachtes Erhebungsverfahren vorzusehen. Ob und wann allen- falls von dieser Möglichkeit Gebrauch gemacht werden muss, hängt sowohl von der weiteren Entwicklung der entsprechen- den Regelungen in unseren Konkurrenzländern wie auch von der Bereitschaft der interessierten Kreise ab, administrative Kautelen auf sich zu nehmen, welche in jedem Fall die Erhe- bung der geschuldeten Inlandsteuer gewährleisten müssen. Wir sind auf jeden Fall bereit, diese Probleme mit den Vertre- tern dieser Branche zu diskutieren. Voraussetzung ist aber, dass gewisse Sicherheiten geleistet und administrative Pro- bleme gelöst werden. Reymond Hubert (L, VD): Je remercie Monsieur le Président de la Confédération de sa réponse extrêmement circonstan- ciée et précise. Je me déclare satisfait de cette réponse. Schluss der Sitzung um 21.25 Uhr La séance est levée à 21 h 25</w:t>
      </w:r>
    </w:p>
    <w:p>
      <w:r>
        <w:t>Schweizerisches Bundesarchiv, Digitale Amtsdruckschriften Archives fédérales suisses, Publications officielles numérisées Archivio federale svizzero, Pubblicazioni ufficiali digitali Interpellation Reymond MWSt-Verordnung. Aufrechterhaltung der Rolle der Schweiz im Edelsteinhandel Interpellation Reymond Ordonnance sur la TVA. Sauvegarde de la place de la Suisse dans le négoce des pierres précieuses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09 Séance Seduta Geschäftsnummer 94.3050 Numéro d'objet Numero dell'oggetto Datum 13.06.1994 - 17:15 Date Data Seite 646-648 Page Pagina Ref. No 20 024 337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