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94.2007 vom 17. Juni 1994</w:t>
      </w:r>
    </w:p>
    <w:p>
      <w:r>
        <w:t>Bundesverwaltung, 1994-06-17, DE</w:t>
      </w:r>
    </w:p>
    <w:p>
      <w:r>
        <w:rPr>
          <w:b/>
        </w:rPr>
        <w:t xml:space="preserve">Quelle: </w:t>
      </w:r>
      <w:r>
        <w:t>https://mcp.opencaselaw.ch/entscheid/ch_vb_94.2007</w:t>
      </w:r>
    </w:p>
    <w:p>
      <w:r>
        <w:t>FR: CH_VB 94.2007 du 17 juin 1994</w:t>
      </w:r>
    </w:p>
    <w:p>
      <w:r>
        <w:t>IT: CH_VB 94.2007 del 17 giugno 1994</w:t>
      </w:r>
    </w:p>
    <w:p>
      <w:pPr>
        <w:pStyle w:val="Heading2"/>
      </w:pPr>
      <w:r>
        <w:t>Erwägungen</w:t>
      </w:r>
    </w:p>
    <w:p>
      <w:r>
        <w:rPr>
          <w:b/>
        </w:rPr>
        <w:t>E. 1</w:t>
      </w:r>
    </w:p>
    <w:p>
      <w:r>
        <w:t>Am 3. November 1993 hat die Interessengemeinschaft für die Förderung und Erhaltung der Fischerei (IGF) eine Petition mit rund 9000 Unterschriften eingereicht Die Schweizer Fi- scher «sind nicht mehr gewillt, die nachhaltigen Schädigun- gen der einheimischen Fischpopulation durch fremde Zugvö- gel untätig hinzunehmen». Sie berufen sich auf das Bundes- gesetz über die Fischerei und auf die Tierschutzgesetzgebung und fordern «nun endlich Taten», nämlich Massnahmen im In- teresse des Artenschutzes der Fische und Konzepte zur Be- standesregulierung der Kormorane.</w:t>
      </w:r>
    </w:p>
    <w:p>
      <w:r>
        <w:rPr>
          <w:b/>
        </w:rPr>
        <w:t>E. 2</w:t>
      </w:r>
    </w:p>
    <w:p>
      <w:r>
        <w:t>Die praktische Tragweite dieser unterschiedlichen Rege- lung ist allerdings zu relativieren: Auf der einen Seite müssen Abzahlungs- und Vorauszahlungsverträge angeben, dass der Käufer innert fünf Tagen auf den Abschluss des Vertrags ver- zichten kann (vgl. Art. 226a Abs. 2 Ziff. 8 und Art. 227a Abs. 2 Ziff. 7 OR); sonst sind sie nichtig (Art 226a Abs. 3 und Art 227aAbs. 1 OR). Auf der anderen Seite muss der Anbieter den Konsumenten über das Widerrufsrecht und die Frist für dessen Ausübung informieren (Art 40d OR); sonst beginnt die Widerrufsfrist nicht zu laufen (Art. 40e Abs. 2 OR). In bei- den Fällen ist somit für eine genügende Aufklärung des Kon- sumenten gesorgt</w:t>
      </w:r>
    </w:p>
    <w:p>
      <w:r>
        <w:rPr>
          <w:b/>
        </w:rPr>
        <w:t>E. 3</w:t>
      </w:r>
    </w:p>
    <w:p>
      <w:r>
        <w:t>Néanmoins, l'existence de solutions différentes, alors que dans un cas comme dans l'autre on veut protéger les consom- mateurs, peut être jugée comme inopportune. Ceci ne devrait cependant pas être éliminé par une révision ad hoc du Code des obligations, mais dans le cadre de l'élabora- tion de la future loi sur le crédit à la consommation. Un avant- projet de loi devrait être soumis à une procédure de consulta- tion début 1995. A cet égard, on notera que le projet de loi sur le crédit à la consommation soumis aux Chambres le 12 juin 1978 (FF 1978 II 621 ss, art 226g al. 1er, art 228 al. 1er) et re- jeté en 1986 lors de la votation finale prévoyait un délai de révo- cation de sept jours en matière de vente par acomptes ou de vente avec paiements préalables. Antrag der Kommission Die Kommission beantragt, die Petition dem Bundesrat zur Kenntnisnahme zu überweisen. Proposition de la commission La commission propose de transmettre la pétition au Conseil fédéral pour qu'il en prenne acte. Angenommen -Adopté</w:t>
      </w:r>
    </w:p>
    <w:p>
      <w:r>
        <w:t>17. Juni 1994 N 1165 Petitionen 94.2020 Petition Wälchli Philipp Verschiedene Verfassungs- und Gesetzesänderungen Pétition Wälchli Philipp Diverses modifications de lois et de la constitution Reimann Maximilian (V, AG) unterbreitet im Namen der Kom- mission für Rechtsfragen (RK) den folgenden schriftlichen Be- richt: Mit Eingabe vom 23. Februar 1994 reichte Philipp Wälchli eine Petition ein. Der Petent fordert verschiedene Verfassungs- und Gesetzesänderungen. Erwägungen der Kommission Die Kommission für Rechtsfragen befasste sich an ihrer Sit- zung vom 11. April 1994 mit dieser Eingabe. Sie hält dazu fol- gendes fest: Die Kommission vertritt die Meinung, dass die Petition an den Bundesrat übermittelt werden soll mit der Bitte, die Vorschläge und Anregungen des Petenten bei der Vorbereitung allfälliger Gesetzgebungsvorhaben, für welche diese von Belang sein könnten, in Betracht zu ziehen. Re/mann Maximilian (V, AG) présente au nom de la Commis- sion des affaires juridiques (CAJ) le rapport écrit suivant: Par requête du 23 février 1994, M. Philipp Wälchli a déposé une pétition demandant diverses modifications de lois et de la constitution. Considérations de la commission La Commission des affaires juridiques a examiné cette re- quête lors de sa séance du 11 avril 1994. Elle est parvenue aux conclusions suivantes: La commission estime qu'il y a lieu de transmettre la pétition au Conseil fédéral en le priant de prendre en considération, en fonction de leur importance, les suggestions émises par le pé- titionnaire lors de la préparation d'éventuels projets législatifs. Antrag der Kommission Die Kommission beantragt, die Petition dem Bundesrat zur Kenntnisnahme zu überweisen. Proposition de la commission La commission propose de transmettre la pétition au Conseil fédéral pour qu'il en prenne connaissance. Angenommen -Adopté 94.2021 Petition Altmann Bernhard Strafklagen gegen den Bundesrat Pétition Altmann Bernhard Plaintes pénales contre le Conseil fédéral Reimann Maximilian (V, AG) unterbreitet im Namen der Kom- mission für Rechtsfragen (RK) den folgenden schriftlichen Be- 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