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94.2001 vom 8. März 1995</w:t>
      </w:r>
    </w:p>
    <w:p>
      <w:r>
        <w:t>Bundesverwaltung, 1995-03-08, DE</w:t>
      </w:r>
    </w:p>
    <w:p>
      <w:r>
        <w:rPr>
          <w:b/>
        </w:rPr>
        <w:t xml:space="preserve">Quelle: </w:t>
      </w:r>
      <w:r>
        <w:t>https://mcp.opencaselaw.ch/entscheid/ch_vb_94.2001</w:t>
      </w:r>
    </w:p>
    <w:p>
      <w:r>
        <w:t>FR: CH_VB 94.2001 du 8 mars 1995</w:t>
      </w:r>
    </w:p>
    <w:p>
      <w:r>
        <w:t>IT: CH_VB 94.2001 del 8 marzo 1995</w:t>
      </w:r>
    </w:p>
    <w:p>
      <w:pPr>
        <w:pStyle w:val="Heading2"/>
      </w:pPr>
      <w:r>
        <w:t>Erwägungen</w:t>
      </w:r>
    </w:p>
    <w:p>
      <w:r>
        <w:rPr>
          <w:b/>
        </w:rPr>
        <w:t>E. 8</w:t>
      </w:r>
    </w:p>
    <w:p>
      <w:r>
        <w:t>März 1995 N 469 Parlamentarische Initiative. Unterschriftsrecht Antrag der Kommission Die Kommission beantragt, von der Petition Kenntnis zu neh- men, ihr aber keine Folge zu geben. Proposition de la commission La commission propose de prendre acte de la pétition sans y donner suite. Angenommen -Adopté #ST# 93.435 Parlamentarische Initiative (Blatter) Unterschriftsrecht bei Referenden und Volksinitiativen Initiative parlementaire (Blatter) Référendums et initiatives populaires. Droit de signature Kategorie V, Art. 68 GRN - Catégorie V, art. 68 RCN Wortlaut der Initiative vom 29. April 1993 Gestützt auf Artikel 21 bis des GVG unterbreite ich in Form einer allgemeinen Anregung folgende parlamentarische In- itiative: Im Interesse der Rechtssicherheit und zur Verhinderung von Missbrauch dürfen die Unterschriftenbogen von Volksinitiati- ven und Referenden nur auf den von einer Gemeinde bezeich- neten Amtsstellen rechtsgültig unterzeichnet werden. Da die- ser Gang auf ein Amt für den Stimmbürger beschwerlich ist und er dadurch gegenüber der bisherigen Regelung in der Ausübung seiner Volksrechte benachteiligt wird, ist die Unter- schriftenzahl für Referenden und Volksinitiativen entspre- chend zu reduzieren. Texte de l'initiative du 29 avril 1993 Me fondant sur l'article 21 bis de la loi sur les rapports entre les Conseils, je dépose l'initiative parlementaire suivante, formu- lée en termes généraux: Afin de préserver la sécurité du droit et d'empêcher les abus, les listes de signatures à l'appui d'initiatives populaires et de référendums ne doivent pouvoir être valablement signées qu'auprès de services désignés par les communes. Etant donné que cette obligation de s'adresser à un service impose une charge au citoyen et lui rend l'exercice des droits populai- res plus difficile que dans la situation juridique actuelle, les nombres de signatures requis pour l'aboutissement des réfé- rendums et des initiatives populaires doivent être réduits en conséquence. Mitunterzeichner- Cosignataires: Engler (1) Heberlein Trix (R, ZH) unterbreitet im Namen der Staatspoliti- schen Kommission (SPK) den folgenden schriftlichen Bericht: Wir unterbreiten Ihnen gemäss Artikel 21ter des Geschäftsver- kehrsgesetzes den Bericht der vorprüfenden Kommission über die von Nationalrat Blatter am 29. April 1993 eingereichte parlamentarische Initiative. Die Initiative verlangt, dass im Interesse der Rechtssicherheit und zur Verhinderung von Missbrauch die Unterschriftenbo- gen von Volksinitiativen und Referenden nur auf den von einer Gemeinde bezeichneten Amtsstellen rechtsgültig unterzeich- net werden dürfen. Als Kompensation für diese Erschwerung der Unterschriftsabgabe sei die Unterschriftenzahl für Refe- renden und Volksinitiativen entsprechend zu reduzieren. Die Kommission hat am 19. November 1993 den Initianten an- gehört. Schriftliche Begründung des Initianten Einleitung Mein Vorschlag in Form einer allgemeinen Anregung geht in zwei Richtungen. Einerseits wird das Unterschreiben von Re- ferenden und Initiativen erschwert, und andererseits wird diese Erschwernis durch eine Reduktion der Unterschriften- zahl kompensiert Ich bin mir bewusst, dass diese beiden Anliegen auf zwei ver- schiedenen Rechtsetzungsstufen (Verfassung und Bundes- gesetz über die politischen Rechte) geregelt sind und dass man das von mir gewünschte Junktim voraussichtlich so lö- sen könnte, indem beide Anliegen auf Verfassungsstufe gere- gelt werden. Hinweis auf weitere parlamentarische Vorstösse Im Ständerat hat Herr Ständerat Petitpierre mit einer Motion (92.5125) verlangt, dass die Unterschriften für Referenden und Volksinitiativen in kantonalen und kommunalen Büros entge- gengenommen werden müssen. Der Ständerat hat die Motion lediglich in Form eines Postulates überwiesen. Im Nationalrat sind zwei parlamentarische Initiativen einge- reicht worden, die beide verlangen, dass die Zahl der Unter- schriften bei Referenden und Volksinitiativen zu erhöhen sind (92.41 OPalv. Rychen und 92.411 Palv. Seiler Hanspeter). Die Staatspolitische Kommission des Nationalrates hat beschlos- sen, diesen beiden parlamentarischen Initiativen keine Folge zu geben. Missbrauch des Initiativ- und Referendumsrechts Mein Vorstoss und die weiteren erwähnten politischen Vor- stösse sind Reaktionen auf Vorfälle der letzten Jahre, die ein- deutig beweisen, dass mit dem Sammeln von Unterschriften Missbrauch betrieben wird, und dass die Kontrollorgane (Ge- meindekanzleien) vielfach überfordert sind, die Kontrolle ter- mingerecht durchzuführen. Wir erinnern uns an die peinliche Zitterpartie beim Neat-Refe- rendum. Zuerst erklärte man, das Referendum sei wegen der grossen Zahl von ungültigen Unterschriften nicht zustande ge- kommen; dann hat man plötzlich korrigiert und erklärt, das Re- ferendum sei nun doch hauchdünn zustande gekommen. Alle, die in die Kontrollarbeit der Gemeindekanzleien Einblick haben, können mir bestätigen, dass sich diese Kontrollen äus- serst mühsam gestalten. Die Zeit drängt jeweils, und zusätzli- ches Personal steht nicht zur Verfügung. Die Unterschriften sind oft schlecht lesbar. Wenn viele Unterschriftenbogen vor- liegen, ist die Kontrolle, ob jemand mehr als einmal unter- zeichnet hat, sehr zeitaufwendig. Dann muss kontrolliert wer- den, ob die unterzeichnende Person tatsächlich stimmberech- tigt ist. Diese zeitaufwendigen Kontrollarbeiten müssen verein- facht und verbessert werden. Man weiss seit Jahren, dass mit den Unterschriften problem- los Missbrauch getrieben werden kann, indem man den Unter- schriftenbogen mit Namen und Vornamen aus dem Telefon- buch jeweils ergänzt, ohne dass der Betroffene davon Kennt- nis hat und ohne dass die Gemeindekanzlei in der Lage ist, diesen widerrechtlichen Sachverhalt zu kontrollieren und den Namen auf dem Bogen als ungültig zu streichen. Einen weiteren negativen Punkt bildet der Einfluss des Geldes beim Sammeln von Unterschriften. Seit Einführung des Refe- rendumsrechts im Jahre 1874 zieht sich bis heute der rote Fa- den der Kritik durch den Blätterwald der Schweizer Presse. Uns allen sind Fälle bekannt (Referendum gegen die Parla- mentsreform), bei denen für das Sammeln von Unterschriften und für den Grossversand Geldbeträge ausgerichtet wurden. Die negativen Beispiele könnten beliebig erweitert werden. Seit 1874 versucht man vergeblich, diese Missstände zu behe- ben. Durch die Bevölkerungszunahme, die modernen Kom- munikationsmittel und zahlreichen PR- und Versandorganisa- tionen hat sich die Situation gegenüber früheren Zeiten dra- stisch verschlechtert und zugespitzt; die Behebung der Miss- stände drängt sich heute dringend auf. Mehr-oder Minderarbeit für die Kontrollorgane Mit meinem Vorschlag wird die Kontrollarbeit bei der Prüfung der Unterschriften ganz wesentlich vereinfacht Der Unter-</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04 Séance Seduta Geschäftsnummer --- Numéro d'objet Numero dell'oggetto Datum 08.03.1995 - 15:00 Date Data Seite 467-469 Page Pagina Ref. No 20 025 377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