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94.011-2 vom 9. Juni 1994</w:t>
      </w:r>
    </w:p>
    <w:p>
      <w:r>
        <w:t>Bundesverwaltung, 1994-06-09, DE</w:t>
      </w:r>
    </w:p>
    <w:p>
      <w:r>
        <w:rPr>
          <w:b/>
        </w:rPr>
        <w:t xml:space="preserve">Quelle: </w:t>
      </w:r>
      <w:r>
        <w:t>https://mcp.opencaselaw.ch/entscheid/ch_vb_94.011-2</w:t>
      </w:r>
    </w:p>
    <w:p>
      <w:r>
        <w:t>FR: CH_VB 94.011-2 du 9 juin 1994</w:t>
      </w:r>
    </w:p>
    <w:p>
      <w:r>
        <w:t>IT: CH_VB 94.011-2 del 9 giugno 1994</w:t>
      </w:r>
    </w:p>
    <w:p>
      <w:pPr>
        <w:pStyle w:val="Heading2"/>
      </w:pPr>
      <w:r>
        <w:t>Erwägungen</w:t>
      </w:r>
    </w:p>
    <w:p>
      <w:r>
        <w:rPr>
          <w:b/>
        </w:rPr>
        <w:t>E. 09</w:t>
      </w:r>
    </w:p>
    <w:p>
      <w:r>
        <w:t>Séance Seduta Geschäftsnummer 94.011-2 Numéro d'objet Numero dell'oggetto Datum 09.06.1994 - 08:00 Date Data Seite 963-964 Page Pagina Ref. No 20 024 123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9</w:t>
      </w:r>
    </w:p>
    <w:p>
      <w:r>
        <w:t>juin 1994 Bundi, Caccia, Caspar-Mutter, Chevallaz, Cincera, Colum- berg, Comby, Daepp, Deiss, Diener, Dreher, Dünki, Eggly, Engler, Eymann Christoph, Fankhauser, Fehr, von Feiten, Fi- scher-Hägglingen, Fischer-Sursee, Frey Claude, Fritschi Os- car, Giger, Gobet, Gonseth, Graber, Grendelmeier, Gros Jean-Michel, Gross Andreas, Grossenbacher, Haering Bin- der, Hafner Rudolf, Hafner Ursula, Hari, Hegetschweiler, Hess Otto, Hollenstein, Hubacher, Iten Joseph, Keller Anton, Keller Rudolf, Kern, Ledergerber, Leemann, Leuba, Leuenberger Ernst, Loeb François, Maeder, Mauch Rolf, Mauch Ursula, Miesch, Misteli, Mühlemann, Müller, Nabholz, Marbel, Nebi- ker, Ostermann, Perey, Philipona, Poncet, Raggenbass, Re- beaud, Ruckstuhl, Ruf, Rutishauser, Savary, Scherrer Werner, Schmid Peter, Schmidhalter, Schmied Walter, Schweingru- ber, Seiler Hanspeter, Seiler Rolf, Spielmann, Stalder, Stamm Judith, Stamm Luzi, Steiger Hans, Steinemann, Strahm Ru- dolf, Thür, Tschopp, Tschuppert Karl, Verterli, Vollmer, Weye- neth, Wick, Wiederkehr, Wittenwiler, Wyss William, Zisyadis, Zwygart (105) Der Stimme enthalten sich-S'abstiennent: Sandoz, Zwahlen (2) Abwesend sind - Sont absents: Aguet, Aregger, Aubry, Berger, Bircher Peter, Blatter, Blocher, Bodenmann, Bonny, Borei François, Borradori, BrüggerCyrill, Brunner Christiane, Bühler Simeon, Bührer Gerold, Bürgi, Camponovo, Carobbio, Cavadini Adriano, Couchepin, Danu- ser, Darbellay, de Dardel, David, Dettling, Dormann, Ducret, Duvoisin, Eggenberger, Epiney, Fasel, Fischer-Seengen, Frey Walter, Friderici Charles, Früh, Giezendanner, Goll, Gysin, Hämmerle, Heberlein, Herczog, Hess Peter, Hildbrand, Jae- ger, Jäggi Paul, Jeanprêtre, Jenni Peter, Jöri, Kühne, Lepori Bonetti, Leu Josef, Leuenberger Moritz, Maitre, Mamie, Marti Werner, Maspoli, Matthey, Maurer, Meier Hans, Meier Samuel, Meyer Theo, Moser, Neuenschwander, Oehler, Pidoux, Pini, Rechsteiner, Reimann Maximilian, Robert, Rohrbasser, Ruffy, Rychen, Scherrer Jürg, Scheurer Rémy, Schnider, Schwab, Segmüller, Sieber, Spoerry, Steffen, Steinegger, Steiner Ru- dolf, Stucky, Suter, Theubet, Tschäppät Alexander, Wanner, Weder Hansjürg, Wyss Paul, Zbinden, Ziegler Jean, Züger (92) Präsidentin, stimmt nicht-Présidente, ne vote pas: Haller (1) An den Ständerat-Au Conseil des Etats #ST# 93.022 Änderung des Zivilgesetzbuches (Herabsetzung des zivilrechtlichen Mündigkeits- und Ehefähigkeitsalters) Code civil. Révision (Abaissement de l'âge de la majorité civile et matrimoniale) Fortsetzung - Suite Siehe Seite 929 hiervor- Voir page 929 ci-devant Engler Rolf (C, AI): Namens der Fraktionsmehrheit beantrage ich Ihnen Eintreten auf diese Gesetzesvorlage. Ich möchte das wie folgt begründen: Mündigkeit bedeutet die Fähigkeit eines jungen Menschen, am gesellschaftlichen und politischen Geschehen teilzuneh- men, zu handeln, zu entscheiden oder mitzuentscheiden. 1991 haben wir A gesagt und den 18jährigen im politischen Bereich das Stimm- und Wahlrecht erteilt Seither sind 18- und 19jährige wählbar - selbst in Vormundschaftsbehörden. Nun gilt es konsequenterweise, auch B zu sagen und analog das zivile Mündigkeitsalter herabzusetzen. Wir haben uns mit den Einwänden der Minderheit Stamm Ju- dith, die einen Antrag auf Nichteintreten gestellt hat, ziemlich lange auseinandergesetzt Ihre Einwendungen sind nicht un- begründet Immerhin kann man zu ihren Einwendungen fest- halten, dass die Probleme, die sie aufgeworfen hat, vielfach auch über das zwanzigste Altersjahr hinaus bestehenbleiben. Wie überall darf sich auch hier die Gesetzgebung nicht an den Ausnahme- und Problemfällen orientieren, sondern die Ge- setzgebung hat den Regelfall, den Normalfall, im Auge zu be- halten. Wer wenige schützen will, der bevormundet eben viele, und das kann nicht Sinn dieser Gesetzgebung sein. Dies gilt um so mehr, als wir im Bereich der politischen Rechte gute Er- fahrungen gemacht haben. Die Jugendlichen verdienen fast ausnahmslos unser Vertrauen, und zwar eben nicht nur im po- litischen, sondern auch im bürgerlichen, im zivilen Bereich. Wer den Jugendlichen Misstrauen entgegenbringt, der darf doch nicht verantwortungsvolles Handeln erwarten; wer aber Vertrauen entgegenbringt, der wird recht selten enttäuscht Lernen und Erfahrungen sammeln, das ist heute nicht mit 18 oder 20 Jahren abgebrochen, 18- und 80jährige müssen da- zulernen. Wir sehen deshalb: Es gibt keine fixe Linie. Der Ent- wicklungsprozess verläuft dynamisch. Die Grenzen sind rela- tiv, relativ in bezug auf jeden einzelnen. Es gibt einerseits Ju- gendliche, die mit 16 mündig sind; andererseits gibt es Men- schen, die praktisch nie erwachsen werden. Auch in den ver- schiedenen Lebensbereichen sehen wir diese Relativität: Ju- gendliche sind heute im sexuellen Bereich wesentlich früher reif als früher, und auch im Bereich der Berufswahl haben sich Jugendliche heute weit früher - oder in einem weit grösseren Mass-festzulegen als früher. Die Antwort auf die Frage, wann - mit 18,19 oder 20 - die Mün- digkeit gegeben sein soll, darf sich nicht am Schutzbedürfnis von Spätentwicklern orientieren; bei dieser Antwort haben wir auf den Regel-, auf den Normalfall, abzustellen. Die Herabset- zung ist ein Akt des Vertrauens. Dieses Vertrauen wird von den Jugendlichen mit verantwortlichem Handeln, mit Kooperation, mit Selbständigkeit und Eigenverantwortung beantwortet, und nur in Ausnahmefällen haben die Vormundschaftsbehör- den zu intervenieren. Es ist auch nicht einsehbar, wieso alle Jugendlichen der umliegenden Staaten mit 18 mündig sein sollen und nur die Jugendlichen hier in der Schweiz nicht; auch dies ist zu beachten. Deshalb beantragt die CVP-Fraktion - wie alle Parteien und Kantone im Vernehmlassungsverfahren -, auf diese Vorlage einzutreten und für das Mündigkeitsalter 18 zu stimmen. Poncet Charles (L, GE): Permettez-moi, tout d'abord, d'an- noncer mes intérêts. Je suis père de trois adolescents âgés de 17, 15 et 14 ans et je pense que, comme la plupart d'entre vous, la façon dont ils se comportent m'inciterait à proposer que l'âge de la majorité soit fixé à 35 ans au plus tôt! Ceci étant dit, le groupe libéral estime que les considérations qui ont été développées par M™ Stamm Judith sont dignes d'intérêt et qu'il convient, en conséquence, de leur apporter notre soutien. Je ne reprendrai pas ici l'exposé détaillé qu'a fait Mme Stamm Judith des inconvénients de l'abaissement de l'âge de la majorité civile et matrimoniale à 18 ans - elle l'a fait hier. Permettez-moi simplement de résumer en deux points les raisons pour lesquelles nous estimons devoir soutenir cette proposition de minorité. Il nous semble, tout d'abord, que l'abaissement de l'âge de la majorité civile et matrimoniale de 20 à 18 ans ne présente au- cun avantage. En particulier, en matière contractuelle, il est in- contestable que dans la pratique, aujourd'hui déjà, ce que M. Chevallaz appelait «l'autonomie des jeunes gens» s'exerce de manière tout à fait satisfaisante et que ce n'est pas en abais- sant de deux ans l'âge de la majorité que l'on changera quel- que chose à cet égard. Notamment, ce n'est pas ainsi qu'on amènera une amélioration. En revanche, le projet qui nous est présenté nous paraît avoir de sérieux inconvénients. Si les Romains avaient fixé à 25 ans l'âge de la majorité civile, c'est parce qu'ils savaient que le</w:t>
      </w:r>
    </w:p>
    <w:p>
      <w:r>
        <w:t>Schweizerisches Bundesarchiv, Digitale Amtsdruckschriften Archives fédérales suisses, Publications officielles numérisées Archivio federale svizzero, Pubblicazioni ufficiali digitali Tierschutz. Übereinkommen (Internationaler Handel) Protection des animaux. Convention (Commerce international)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