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9348 2006-3256 vom 18. Mai 2005</w:t>
      </w:r>
    </w:p>
    <w:p>
      <w:r>
        <w:t>Bundesverwaltung, 2005-05-18, DE</w:t>
      </w:r>
    </w:p>
    <w:p>
      <w:r>
        <w:rPr>
          <w:b/>
        </w:rPr>
        <w:t xml:space="preserve">Quelle: </w:t>
      </w:r>
      <w:r>
        <w:t>https://mcp.opencaselaw.ch/entscheid/ch_vb_9348_2006-3256_</w:t>
      </w:r>
    </w:p>
    <w:p>
      <w:r>
        <w:t>FR: CH_VB 9348 2006-3256 du 18 mai 2005</w:t>
      </w:r>
    </w:p>
    <w:p>
      <w:r>
        <w:t>IT: CH_VB 9348 2006-3256 del 18 maggio 2005</w:t>
      </w:r>
    </w:p>
    <w:p>
      <w:pPr>
        <w:pStyle w:val="Heading2"/>
      </w:pPr>
      <w:r>
        <w:t>Volltext</w:t>
      </w:r>
    </w:p>
    <w:p>
      <w:r>
        <w:t>9348 2006-3256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Flurochloridon 250 g/l Formulation: CS 2. Produits commerciaux Racer CS Numéro d’homologation suisse: A-3123 pays d’origine: Autriche numéro d’homologation étranger: 2688/0 distributeur: Feinchemie Schwebda GmbH, Strassburger Strasse 5, 37269 Eschwege Applications autorisées: Domaine d’application Organisme nuisible / effets Application (*) Grandes cultures</w:t>
      </w:r>
    </w:p>
    <w:p>
      <w:r>
        <w:t>tournesol pommes de terre de table (plants de p. de t. exceptés) dicotylédones annuelles (mauvaises herbes) monocotylédones annuelles (mauvaises herbes) dosage: 3 l/ha 1</w:t>
      </w:r>
    </w:p>
    <w:p>
      <w:r>
        <w:t>(*) Charges et remarques 1 = ne pas utiliser sur des sols marécageux.</w:t>
      </w:r>
    </w:p>
    <w:p>
      <w:r>
        <w:t>1 RS 916.161</w:t>
      </w:r>
    </w:p>
    <w:p>
      <w:r>
        <w:t>9349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9348-9349 Page Pagina Ref. No 10 140 208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