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93.429 vom 6. Juni 1994</w:t>
      </w:r>
    </w:p>
    <w:p>
      <w:r>
        <w:t>Bundesverwaltung, 1994-06-06, DE</w:t>
      </w:r>
    </w:p>
    <w:p>
      <w:r>
        <w:rPr>
          <w:b/>
        </w:rPr>
        <w:t xml:space="preserve">Quelle: </w:t>
      </w:r>
      <w:r>
        <w:t>https://mcp.opencaselaw.ch/entscheid/ch_vb_93.429</w:t>
      </w:r>
    </w:p>
    <w:p>
      <w:r>
        <w:t>FR: CH_VB 93.429 du 6 juin 1994</w:t>
      </w:r>
    </w:p>
    <w:p>
      <w:r>
        <w:t>IT: CH_VB 93.429 del 6 giugno 1994</w:t>
      </w:r>
    </w:p>
    <w:p>
      <w:pPr>
        <w:pStyle w:val="Heading2"/>
      </w:pPr>
      <w:r>
        <w:t>Erwägungen</w:t>
      </w:r>
    </w:p>
    <w:p>
      <w:r>
        <w:rPr>
          <w:b/>
        </w:rPr>
        <w:t>E. 06</w:t>
      </w:r>
    </w:p>
    <w:p>
      <w:r>
        <w:t>Séance Seduta Geschäftsnummer 93.429 Numéro d'objet Numero dell'oggetto Datum 06.06.1994 - 14:30 Date Data Seite 883-885 Page Pagina Ref. No 20 024 104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6</w:t>
      </w:r>
    </w:p>
    <w:p>
      <w:r>
        <w:t>Juni 1994 885 Mietrecht Minorité (Leuenberger Moritz, Bär, Bühlmann, Caspar-Mutter, de Dar- del, Engler, von Feiten, Grendelmeier, Herczog, Rechsteiner, Stamm Judith) Ne pas donner suite aux initiatives #ST# 93.421 Parlamentarische Initiative (Ducret) Missbräuchliche Mietzinse. Ausnahmen (Art. 269a OR) Initiative parlementaire (Ducret) Loyers abusifs. Exceptions (art. 269a CO) Kategorie II, Art 68 GRN-Catégorie II, art 68RCN Wortlaut der Initiative vom 16. März 1993 Gestütztauf Artikel 93 Absatz 1 der Bundesverfassung und auf die Artikel 21 bis ff. des Geschäftsverkehrsgesetzes bringe ich in der Form eines ausgearbeiteten Entwurfs folgende parla- mentarische Initiative ein: Das Obligationenrecht wird wie folgt geändert: Art. 269a Bst.g (neu) g. von einer Verwaltungsbehörde in Anwendung eines kanto- nalen Gesetzes festgelegt werden. Texfe de l'initiative du 16 mars 1993 Me fondant sur l'article 93 alinéa premier de la constitution et les articles 21 bis ss. de la loi sur les rapports entre les conseils, je présente l'initiative parlementaire suivante sous la forme d'un projet rédigé de toutes pièces: Le Code des obligations est modifié comme suit: Art. 269a let. g (nouvelle) g. sont fixés par une autorité administrative en application d'une loi cantonale. Reimann Maximilian (V, AG) unterbreitet im Namen der Kom- mission für Rechtsfragen (RK) den folgenden schriftlichen Be- richt: Am 16. März 1993 reichte Herr Ducret eine parlamentarische Initiative in der Form des ausgearbeiteten Entwurfes ein. Die Kommission für Rechtsfragen (RK) des Nationalrates, wel- cher dieses Geschäft zur Prüfung zugewiesen wurde, gab am 23. November 1993 dem Initianten Gelegenheit, sich zu sei- nem Vorstoss zu äussern. Begründung des Initianten (Zusammenfassung) Artikel 269a OR enthält eine nicht abschliessende Aufzählung von Ausnahmefällen, bei denen angenommen wird, dass die Mietzinse nicht missbräuchlich sind. Hierbei handelt essich nur um eine Vermutung; diese kann, wenn man die sogenannte absolute Berechnungsmethode anwendet (nach der in jedem Einzelfall überprüft wird, ob der durch die Miete erzielte Ertrag zulässig oder missbräuchlich ist), widerlegt werden. In mehreren kantonalen Gesetzgebungen, die nach Inkrafttre- ten der bundesrechtlichen Bestimmungen betreffend die Massnahmen gegen die Missbräuche im Mietwesen verab- schiedet wurden, sind nun Normen enthalten, welche die Fest- legung von Mietzinsen durch eine Verwaltungsbehörde er- möglichen. Dabei gehen die Kantone von den einschlägigen bundesrechtlichen Bestimmungen (Art 261 a Bst b OR und Art 14 VMWG) aus, und zwar auch dann, wenn diese formell im Rahmen eines öffentlich-rechtlichen Verhältnisses nicht an- wendbar sind. Solche Gesetzgebungen, die in der Regel den Abbruch, den Umbau und die Renovation von Wohnhäusern behandeln und damit nicht zu den Förderungsmassnahmen nach Arti- kel 253b OR gehören, sind insbesondere in den Kantonen Genf, Waadt und Tessin verabschiedet worden. Es liegt auf der Hand, dass sich die zuständige Behörde bei solchen Fällen äusserste Zurückhaltung auferlegt, was die zu- lässige Erhöhung des Mietzinses betrifft Man kann also davon ausgehen, dass ein unter diesen Umständen festgelegter Mietzins innerhalb der für nicht missbräuchliche Mietzinse gel- tenden Grenzen im Sinne des Obligationenrechts liegt Dessenungeachtet verhindert die Bundesgesetzgebung die Anfechtung dieses Mietzinses im Rahmen des Mietvertrags- verhältnisses vor den zivilen Gerichten nicht, obwohl dieses privatrechtlicher Natur ist Unter dieser Voraussetzung ist es möglich, das Resultat einer Berechnung anzufechten, die sich weitgehend auf das Obliga- tionenrecht abstützt, aber von einer Verwaltungsbehörde durchgeführt wird, und zwar bei den zivilen Gerichten. Der Ver- mieter kann sich also vor folgende, paradoxe Situation gestellt sehen: der von einer zuständigen Verwaltungsbehörde be- stimmte Mietzins wird von einer richterlichen Instanz als miss- bräuchlich erklärt. Dies ist ein Widerspruch und darf nicht ge- duldet werden. Aus diesen Gründen und um die chronische Überbelastung der für die Miete zuständigen rechtsprechenden Instanzen nicht noch zu verstärken, wird vorgeschlagen, die Feststel- lung, der von einer Verwaltungsbehörde beim Vollzug eines kantonalen Gesetzes festgelegte Mietzins sei nicht miss- bräuchlich, als widerlegbare Vermutung zu betrachten. Wie oben ausgeführt wurde, kann der Mieter weiterhin jederzeit den Mietzins anfechten, indem er sich auf den durch die Miete erzielten missbräuchlichen Ertrag beruft Erwägungen der Kommission Die Kommission beschloss nach einer eingehenden Diskus- sion mit 9 zu 6 Stimmen, der Initiative Folge zu geben. Die Kommissionsmehrheit stimmte dabei den Argumenten des In- itianten zu. Sie betonte insbesondere, das es zu Härtefällen kommen kann, wenn Mietzinserhöhungen nicht durchgeführt werden können, ohne dass ein Vorbehalt angebracht wurde. Die Kommissionsminderheit vertrat demgegenüber die Auf- fassung, umfassende Abklärungen vor allem mit Bezug auf die Auswirkungen im Falle einer Annahme der Initiative sowie de- ren Verfassungsmässigkeit wären nötig, bevor ein Grundsatz- entscheid gefasst werden könne. Reimann Maximilian (V, AG) présente au nom de la Commis- sion des affaires juridiques (CAJ) le rapport écrit suivant: Le 16 mars 1993, M. Ducret a déposé une initiative parlemen- taire sous la forme d'un projet rédigé de toutes pièces. La Commission des affaires juridiques du Conseil national, qui a été chargée de l'examen de cet objet, a entendu l'auteur de l'initiative le 23 novembre 1993. Développement de l'auteur de l'initiative (résumé) L'article 269a CO contient une liste, non exhaustive, de situa- tions dans lesquelles le loyer est présumé n'être pas abusif. Il ne s'agit que d'une présomption, le recours à la méthode de calcul dite absolue (selon laquelle on examine dans chaque cas d'espèce si le rendement effectif procuré par la location est admissible ou abusif) permet de la renverser. Plusieurs législations cantonales, adoptées postérieurement à l'entrée en vigueur des dispositions du droit fédéral concer- nant les mesures contre les abus dans le secteur locatif, contiennent des normes permettant à une autorité administra- tive de procéder à la fixation des loyers. Pour ce faire, elles s'inspirent des dispositions pertinentes du droit fédéral (art 269alet b CO et 14 OBLF), et ce, même si, formellement, ces dernières ne sont pas applicables dans le cadre d'une re- lation de droit public. De telles législations, qui traitent généralement de la démoli- tion, de la transformation et de la rénovation de maisons d'ha- bitation et qui ne sont donc pas comprises dans les mesures</w:t>
      </w:r>
    </w:p>
    <w:p>
      <w:r>
        <w:t>Schweizerisches Bundesarchiv, Digitale Amtsdruckschriften Archives fédérales suisses, Publications officielles numérisées Archivio federale svizzero, Pubblicazioni ufficiali digitali Parlamentarische Initiative (Hegetschweiler) Änderung des Mietrechts. Obligationenrecht. Achter Titel Initiative parlementaire (Hegetschweiler) Modification du droit de bail. Code des obligations. Titre huitième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