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93.3660 vom 17. Juni 1994</w:t>
      </w:r>
    </w:p>
    <w:p>
      <w:r>
        <w:t>Bundesverwaltung, 1994-06-17, DE</w:t>
      </w:r>
    </w:p>
    <w:p>
      <w:r>
        <w:rPr>
          <w:b/>
        </w:rPr>
        <w:t xml:space="preserve">Quelle: </w:t>
      </w:r>
      <w:r>
        <w:t>https://mcp.opencaselaw.ch/entscheid/ch_vb_93.3660</w:t>
      </w:r>
    </w:p>
    <w:p>
      <w:r>
        <w:t>FR: CH_VB 93.3660 du 17 juin 1994</w:t>
      </w:r>
    </w:p>
    <w:p>
      <w:r>
        <w:t>IT: CH_VB 93.3660 del 17 giugno 1994</w:t>
      </w:r>
    </w:p>
    <w:p>
      <w:pPr>
        <w:pStyle w:val="Heading2"/>
      </w:pPr>
      <w:r>
        <w:t>Erwägungen</w:t>
      </w:r>
    </w:p>
    <w:p>
      <w:r>
        <w:rPr>
          <w:b/>
        </w:rPr>
        <w:t>E. 17</w:t>
      </w:r>
    </w:p>
    <w:p>
      <w:r>
        <w:t>juin 1994 es der Arbeitsmarkt zulässt. Bei den ordentlichen und ausser- ordentlichen Besoldungserhöhungen (Art 40, 41 BtG) wird der Bundesrat allfällig erweiterte Kompetenzen dahin gehend nutzen, um in Zeiten schwacher Konjunktur und schlechter Fi- nanzlage diese Zulagen angemessen reduzieren zu können. Es soll damit verhindert werden, dass der Bund durch zu de- taillierte Vorgaben im Beamtengesetz weiterhin gezwungen ist, nicht marktgerechte Lohnerhöhungen gewähren zu müs- sen. Damit dürfte das Anliegen des Interpellanten mindestens teilweise erfüllt werden können. 3. Im Legislaturprogramm hat der Bundesrat festgelegt, dass bis zum Jahr 2000 die Entwicklungshilfeausgaben der öffentli- chen Hand 0,40 Prozent des Bruttosozialprodukts (BSP) errei- chen sollen. Da sich die Finanzlage des Bundes in der Zwi- schenzeit aber massiv verschlechtert hat, wird er im Rahmen des dritten Sanierungsprogramms alle Ziele neu überprüfen müssen. Je nachdem, wie das Ergebnis dieser Prüfung aus- fällt, ist nicht auszuschliessen, dass das Ziel im Bereich der öf- fentlichen Entwicklungshilfe nach unten korrigiert wird. Würde die jährliche Zuwachsrate der Entwicklungshilfeausga- ben aber auf 3 Prozent verringert, wie dies der Interpellant an- regt, so würde die öffentliche Entwicklungshilfe bei 0,33 Pro- zent des BSP und damit unter dem 1993 erreichten und für 1994 vorgesehenen Niveau von 0,34 Prozent stabilisiert Die Entwicklungshilfeleistungen unseres Landes gingen somit zurück. 4. Die Hilfe zugunsten der Länder Osteuropas wurde bereits im Rahmen der Sanierungsmassnahmen 1993 und bei der Be- ratung des Budgets 1994 durch das Parlament auf mehr Jahre erstreckt als vorgesehen. Jede Kürzung der Zahlungskredite führt zwangsläufig zu einer Verlangsamung bei den Verpflich- tungen. Angesichts der Bedürfnisse der Empfängerländer, der Interessen unseres Landes und der Tatsache, dass unser Beitrag (im europäischen und im internationalen Vergleich) ohnehin bescheiden ist, erscheint eine weitere Erstreckung problematisch, wenn unser Handeln eine gewisse Glaubwür- digkeit behalten soll. Die durchschnittliche Zuwachsrate der Ausgaben von 15 Prozent, die im Finanzplan 1995-1997 in diesem Bereich vorgesehen ist, ist darauf zurückzuführen, dass in den vergangenen Jahren namhafte Kürzungen vorge- nommen wurden und dass es sich hierbei um ein neues, sich in Entwicklung befindendes Tätigkeitsgebiet handelt 5. Mit der Inkraftsetzung der revidierten Asylverordnung 2 über Finanzierungsfragen wurde der den Kantonen für die Un- terstützung von Asylbewerbern ausgerichtete Betrag auf eine Pauschale von 18 Franken pro Person und Tag festgesetzt (exklusive Gesundheits- und Unterbringungskosten). Nach den bisherigen Bestimmungen konnten die Kantone die Un- terstützungskosten für Asylbewerber dem Bund mit Aus- nahme des Taschengeldes und der individuellen Transportko- sten nach den auch für die übrigen Bedürftigen geltenden Richtsätzen der Schweizerischen Konferenz für öffentliche Fürsorge (SKöF) in Rechnung stellen (für eine Übergangsfrist bis Ende 1994 ist eine Abrechnung nach dem alten oder dem neuen Recht möglich). Diese Unterstützungskosten betragen für die übrigen Bedürftigen im Durchschnitt rund 24 Franken pro Person und Tag. Die für die Asylbewerberfürsorge vorge- sehenen Unterhaltsansätze liegen damit bereits tiefer als die- jenigen für andere Fürsorgeempfänger. Der Bundesrat wird weiterhin ein besonderes Augenmerk auf die Kostenentwicklung im Asyl- und Flüchtlingsbereich rich- ten. Mit der Einführung einer Pauschale will der Bundesrat den Kantonen einen zusätzlichen Sparanreiz bieten und dazu bei- tragen, die Fürsorgekosten für Asylbewerber in einem ange- messenen Rahmen zu halten. Zudem wird im Rahmen der Ar- beiten zum dritten Sanierungspaket geprüft, ob im Bereich der Asylbewerberfürsorge weitergehende Einsparungen möglich sind. Erklärung des Interpellanten: nicht befriedigt Déclaration de l'interpellateur: non satisfait #ST# 93.3648 Interpellation Schnider Aufhebung der steuerlichen Wettbewerbsnachteile inländischer Bierbrauereien Brasseries indigènes. Suppression des désavantages fiscaux Wortlaut der Interpellation vom 16. Dezember 1993 Aufgrund verschiedener Überlegungen gelangt der Interpel- lant mit vorliegender Eingabe an den Bundesrat und unterbrei- tet ihm folgende Frage: Ist der Bundesrat bereit, im Zuge der Einführung der Mehr- wertsteuer und der damit verbundenen Anpassung der Bier- steuer die steuerlichen Wettbewerbsnachteile der inländi- schen Brauereien allgemein aufzuheben und speziell für Klein- und Mittelbrauereien eine EG-konforme Staffelung des Steuersatzes einzuführen? Texte de l'interpellation du 16 décembre 1993 Se fondant sur des considérations diverses, l'auteur de l'inter- pellation demande au Conseil fédéral de répondre à la ques- tion suivante: Le Conseil fédéral est-il disposé, à l'occasion de l'institution de la taxe sur la valeur ajoutée et de l'adaptation de l'impôt sur la bière qu'elle entraînera, à supprimer les dispositions fiscales qui provoquent des distorsions de la concurrence désavanta- geant les brasseries indigènes en général et à appliquer notamment aux petites et moyennes entreprises de cette branche, un taux fiscal échelonné conforme aux prescriptions de la CE? Mitunterzeichner-Cosignataires: Aregger, Bürgi, Columberg, Dormann, Hari, Jäggi Paul, Kühne, Leu Josef, Schwab, Seiler Hanspeter, Tschuppert Karl (11) Schriftliche Begründung - Développement par écrit Die derzeitige steuerliche Belastung des inländischen Bieres erzeugt stossende Wettbewerbsverzerrungen gegenüber den ausländischen Produkten. Klein- und Mittelbrauereien sind von diesen Wettbewerbs- nachteilen besonders hart betroffen. Auch auf europäischer Ebene hält man an den nationalen Biervielfalten als Teil der Kultur und Tradition eines Landes fest und unterstützt durch die Einführung eines differenzierten Steuersystems (Glossner Staffel), das den Satz der Biersteuer nach «Stärke» des Bieres (Stammwürzegehalt) bestimmt, aktiv die nationalen Klein- und Mittelbrauereien. Mit der Anpassung der Besteuerung an das EG-Recht wird er- reicht, dass die importierten Biere nicht wie bis anhin zum Teil bis zu 15 Prozent weniger belastet werden als in der Schweiz gebraute Biere. Dabei muss festgehalten werden, dass es bei dieser Anfrage nicht um eine Verminderung des unter dem Ti- tel Biersteuer erhobenen Steuerertrages geht, sondern primär darum, die fiskalische Belastung der Brauereien gerechter zu verteilen und somit die Wettbewerbsnachteile auszugleichen. Schriftliche Stellungnahme des Bundesrates vom 23. März 1994 Rapport écrit du Conseil fédéral du 23 mars 1994 Die Besteuerung des Bieres beruht heute auf Artikel 41 ter Ab- satz 4 Buchstabe b der Bundesverfassung, wonach die Ge- samtbelastung durch die Biersteuer, die Zollzuschläge auf Braurohstoffen und Bier sowie die Warenumsatzsteuer, im Verhältnis zum Bierpreis, auf dem Stand vom 31. Dezember 1970 zu bleiben hat</w:t>
      </w:r>
    </w:p>
    <w:p>
      <w:r>
        <w:t>Schweizerisches Bundesarchiv, Digitale Amtsdruckschriften Archives fédérales suisses, Publications officielles numérisées Archivio federale svizzero, Pubblicazioni ufficiali digitali Interpellation Früh Sanierung der Bundesfinanzen Interpellation Früh Assainissement des finances fédérales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93.3660 Numéro d'objet Numero dell'oggetto Datum 17.06.1994 - 08:00 Date Data Seite 1217-1218 Page Pagina Ref. No</w:t>
      </w:r>
    </w:p>
    <w:p>
      <w:r>
        <w:rPr>
          <w:b/>
        </w:rPr>
        <w:t>E. 20</w:t>
      </w:r>
    </w:p>
    <w:p>
      <w:r>
        <w:t>024 213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