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93.365 7 vom 17. Juni 1994</w:t>
      </w:r>
    </w:p>
    <w:p>
      <w:r>
        <w:t>Bundesverwaltung, 1994-06-17, DE</w:t>
      </w:r>
    </w:p>
    <w:p>
      <w:r>
        <w:rPr>
          <w:b/>
        </w:rPr>
        <w:t xml:space="preserve">Quelle: </w:t>
      </w:r>
      <w:r>
        <w:t>https://mcp.opencaselaw.ch/entscheid/ch_vb_93.365_7</w:t>
      </w:r>
    </w:p>
    <w:p>
      <w:r>
        <w:t>FR: CH_VB 93.365 7 du 17 juin 1994</w:t>
      </w:r>
    </w:p>
    <w:p>
      <w:r>
        <w:t>IT: CH_VB 93.365 7 del 17 giugno 1994</w:t>
      </w:r>
    </w:p>
    <w:p>
      <w:pPr>
        <w:pStyle w:val="Heading2"/>
      </w:pPr>
      <w:r>
        <w:t>Erwägungen</w:t>
      </w:r>
    </w:p>
    <w:p>
      <w:r>
        <w:rPr>
          <w:b/>
        </w:rPr>
        <w:t>E. 17</w:t>
      </w:r>
    </w:p>
    <w:p>
      <w:r>
        <w:t>juin 1994 tano difficoltà anche dalla circostanza che in diversi Stati l'abuso sessuale dei fanciulli è invero punibile, ma che l'età protetta è però fissata a un livello più basso che non in Sviz- zera Questi Stati presteranno assistenza giudiziaria alla Sviz- zera soltanto nella misura in cui il reato è punibile anche nel loro Paese. Dagli Stati che non puniscono atti sessuali con fan- ciulli, poi, la Svizzera non può esigere assistenza giudiziaria di sorta in merito a tali reati. Persino se è dato il sospetto concreto di un reato commesso, un tribunale svizzero avrà difficoltà a ottenere le prove che possano sfociare in una condanna Pro- blemi analoghi si pongono in ordine al traffico di bambini nella miusra in cui si svolga unicamente all'estero. Fondando sulla Convenzione internazionale relativa ai diritti del bambino, la Svizzera dovrà rafforzare molto la collaborazione internazio- nale in questo settore, segnatamente con gli Stati interessati. Già dal 1990 nella Commissione per i diritti dell'uomo delle Na- zioni Unite opera un relatore speciale che si occupa del tema della tratta dei fanciulli - con il quale la Svizzera intrattiene con- tratti - che informa il mondo intero regolarmente su prostitu- zione e su pornografia infantili e propone pertinenti misure. 3. Si pone inoltre la questione a sapere se gli atti sessuali con fanciulli e il traffico di bambini siano gli unici reati commessi al- l'estero per i quali (oltre ai delitti e crimini contro lo Stato giusta l'art 4 CP e la sicurezza militare giusta l'art. 185 n. 5 CP) un perseguimento penale in Svizzera debba essere possibile, senza che sia data la premessa della punibilità nello Stato del reato commesso, oppure se debbano essere presi in conside- razione anche altri reati altrettanto gravi, quali ad esempio la fabbricazione di oggetti o rappresentazioni pornografici con fanciulli (art. 197 n. 3 CP) o la tratta di donne provenienti da Paesi del Terzo Mondo e relativi delitti. In questo caso po- trebbe essere accolta nella Parte generale del Codice penale una disposizione generale a tutela di determinati beni degni di essere protetti dalla legge. 4. Occorrerebbe infine esaminare anche se le fattispecie previ- ste nel Codice penale siano adeguate a rispondere ai pro- blemi cui si rifa la mozione, oppure se non si debbano even- tualmente creare fattispecie nuove. Lo sfruttamento dei fanciulli approfittando delle difficoltà in cui si trovano o in cui sono i genitori ha assunto proporzioni pau- rose in certi Paesi. Il Consiglio federale è deciso a prendere mi- sure adeguate allo scopo di migliorare la protezione dei fan- ciulli che si trovano in tali situazioni. Una pertinente modifica- zione del Codice penale potrebbe sviluppare un certo effetto di prevenzione generale. Le questioni che si pongono in tale contesto devono però essere oggetto di chiarimenti appro- fonditi. Ad numero 2 della mozione: La Svizzera ha firmato il 1 ° maggio 1991 la Convenzione delle Nazioni Unite relativa ai diritti del bambino, del 20 novembre 1989. Il messaggio del Consiglio federale concernente la ratifi- cazione di tale convenzione sarà presumibilmente sottoposto al Parlamento ancora quest'anno. Il numero 2 della mozione è quindi, per tale aspetto, senza oggetto. Schriftliche Erklärung des Bundesrates Dichiarazione scritta del Consiglio federale Déclaration écrite du Conseil fédéral II Consiglio federale propone di trasformare il numero 1 della mozione in postulato e di respingere il numero 2, perché senza oggetto. Punkt 1-Point 1 Überwiesen als Postulat- Transmis comme postulat Punkt 2-Point 2 Abgelehnt - Rejeté #ST# 94.3056 Motion Baumberger Teilrevision Raumplanungsgesetz (RPG). Baurechtliche Vorentscheide Révision partielle de la loi sur l'aménagement du territoire (LAT). Jugement préjudiciel Wortlaut der Motion vom 1. März 1994 Der Bundesrat wird beauftragt, eine Teilrevision des Bundes- gesetzes über die Raumplanung (namentlich Art. 33 Abs. 3 RPG) vorzulegen, welche dafür sorgt, dass weiterhin pla- nungs- und baurechtliche Vorentscheide in einem schnellen Verfahren und mit verbindlicher Wirkung im Verhältnis zum Gesuchsteller möglich bleiben. Texte de la motion du 1er mars 1994 Le Conseil fédéral est chargé de présenter un projet de révision partielle de la loi sur l'aménagement du territoire (LAT) et notam- ment de son article 33 alinéa 3 afin qu'il reste possible de pro- noncerrapidementdesjugements préjudiciels portantsurl'éla- boration des plans et les projets de construction et ayant un ca- ractère contraignant en ce qui concerne le requérant. Mitunterzeichner- Cosignataires: Keine -Aucun Schriftliche Begründung - Développement par écrit Das Bundesgericht hat in einem kürzlich publizierten Ent- scheid vom 9. September 1992 festgestellt, ein Vorentscheid- verfahren ohne Publikation verstosse gegen Artikel 33 Ab- satz 3 RPG und sei dementsprechend bundesrechtswidrig. Zur Begründung hat das Bundesgericht auf die fehlende Ver- fahrensteilnahme Dritter, möglicherweise beschwerdelegiti- mierter Personen, hingewiesen. Die unabdingbare Notwendigkeit schneller, auf Teilbereiche ei- nes Projektes beschränkter Vorentscheidverfahren mit mög- lichst verbindlichem Ergebnis ist im Hinblick auf die zuneh- mend wachsenden Projektierungskosten und die sich deshalb schrittweise entwickelnden Projekte allgemein anerkannt. Der überwiegende Teil aller Kantone kennt in seinen Baugesetzen solche Vorentscheidverfahren. Dem Schutz der Rechte Dritter kann ausreichend Rechnung getragen werden, wenn die Rechtsmittelinstanzen gegenüber Drittbeteiligten an derartige Vorentscheide nicht gebunden sind bzw. wenn Richter, welche bereits im Verhältnis Bauherr-Baubehörde entschieden haben, inspäteren Verfahren in den Ausstand treten. DieVerfahrensan- forderungen, welche Artikel 33 Absatz 3 Buchstabe a RPG stellt, sind daher möglichst rasch anzupassen. Schriftliche Stellungnahme des Bundesrates vom 18. Mai 1994 Rapport écrit du Conseil fédéral du 18 mai 1994 Der Bundesgerichtsentscheid vom 9. September 1992, wel- cher dem Motionär Anlass zu seinem parlamentarischen Vor- stoss gegeben hat, ist publiziert im Schweizerischen Zentral- blatt für Staats- und Verwaltungsrecht, Band 95, S. 66ff. Das Bundesgericht führt darin aus, über Baubewilligungen oder Teil- und Grundsatzentscheide zu Baubewilligungen dürfe sich die Entscheidbehörde gegenüber dem Gesuchsteller erst dann rechtlich bindend äussern, wenn grundsätzlich auch legitimierte Dritte von ihren Verfahrensrechten Gebrauch machen konnten. Es hat sich dafür - wie schon in den nicht publizierten Entscheiden vom 20. Juni 1990 i. S. BRPundvom 29. Juli 1992 i. S. J. St - auf Artikel 33 Absatz 3 Buchstabe a RPG gestützt Es hat zudem darauf hingewiesen, dass eine frühere rechtliche Bindung zwischen Bewilligungsbehörde und Gesuchsteller den Anspruch auf rechtliches Gehör und damit die Bundesverfassung verletze.</w:t>
      </w:r>
    </w:p>
    <w:p>
      <w:r>
        <w:t>Schweizerisches Bundesarchiv, Digitale Amtsdruckschriften Archives fédérales suisses, Publications officielles numérisées Archivio federale svizzero, Pubblicazioni ufficiali digitali Motion Carobbio Kinderhandel. Änderung des StGB Motion Carobbio Traite d'enfants. Modification du Code pénal Mozione Carobbio Turismo pedofilo e traffico di bambini. Modifica Codice penale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93.3657 Numéro d'objet Numero dell'oggetto Datum 17.06.1994 - 08:00 Date Data Seite 1174-1176 Page Pagina Ref. No</w:t>
      </w:r>
    </w:p>
    <w:p>
      <w:r>
        <w:rPr>
          <w:b/>
        </w:rPr>
        <w:t>E. 20</w:t>
      </w:r>
    </w:p>
    <w:p>
      <w:r>
        <w:t>024 162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