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93.364 8 vom 17. Juni 1994</w:t>
      </w:r>
    </w:p>
    <w:p>
      <w:r>
        <w:t>Bundesverwaltung, 1994-06-17, DE</w:t>
      </w:r>
    </w:p>
    <w:p>
      <w:r>
        <w:rPr>
          <w:b/>
        </w:rPr>
        <w:t xml:space="preserve">Quelle: </w:t>
      </w:r>
      <w:r>
        <w:t>https://mcp.opencaselaw.ch/entscheid/ch_vb_93.364_8</w:t>
      </w:r>
    </w:p>
    <w:p>
      <w:r>
        <w:t>FR: CH_VB 93.364 8 du 17 juin 1994</w:t>
      </w:r>
    </w:p>
    <w:p>
      <w:r>
        <w:t>IT: CH_VB 93.364 8 del 17 giugno 1994</w:t>
      </w:r>
    </w:p>
    <w:p>
      <w:pPr>
        <w:pStyle w:val="Heading2"/>
      </w:pPr>
      <w:r>
        <w:t>Erwägungen</w:t>
      </w:r>
    </w:p>
    <w:p>
      <w:r>
        <w:rPr>
          <w:b/>
        </w:rPr>
        <w:t>E. 17</w:t>
      </w:r>
    </w:p>
    <w:p>
      <w:r>
        <w:t>Juni 1994 N 1219 Interpellation Hafner Ursula Die Biersteuer wird nach der Menge, d. h. spezifisch, bemes- sen. Alle Biere aus der Inlandfabrikation sowie aus dem Import unterliegen - unabhängig von der Aufmachung und vom Alko- holgehalt - der gleichen Besteuerung. Für die Festsetzung des Steuersatzes wird der von den Inlandbrauereien festge- setzte Engrospreis für offenes Lagerbier herangezogen. Bei Preiserhöhungen durch die Brauereien kann der Bundesrat die Steuerbelastung entsprechend angleichen. Auch in der Europäischen Union ist die Biersteuer spezifisch ausgestaltet Der Steuersatz wird indessen je Grad Piato oder Grad Alkohol ohne Beziehung zum Preis festgesetzt Zum Schutz und zur Erhaltung der klein- und mittelständischen Brauereistruktur können die Mitgliedstaaten die Steuersätze nach der hergestellten Menge bis auf 50 Prozent ermässigen. Insbesondere aus wettbewerbspolitischer Sicht sowie aus Gründen der Eurokompatibilität steht der Bundesrat einer Um- gestaltung des schweizerischen Besteuerungssystems posi- tiv gegenüber. Eine entsprechende Revision unter Berück- sichtigung des Anliegens des Interpellanten wird zurzeit ge- prüft Dabei gilt es vorab abzuklären, welche Auswirkungen eine Staffelung der Steuerbelastung zur Folge hat und ob ver- fassungsmässige oder vertragsrechtliche internationale Be- stimmungen nicht dagegen sprechen. Ferner soll der Brauin- dustrie und anderen interessierten Kreisen Gelegenheit gege- ben werden, sich zu diesem Vorhaben zu äussern. Erklärung des Interpellanten: befriedigt Déclaration de l'interpellateur: satisfait #ST# 94.3074 Interpellation Hafner Ursula Krankheitsbedingte IV-Renten Allocation de rentes AI en cas de maladie Wortlaut der Interpellation vom 2. März 1994 In den letzten Jahren ist die Zahl der IV-Renten, die aufgrund einer Erkrankung ausgezahlt wurden, stark angewachsen. Besonders auffallend ist die Zunahme von Berentungen, wel- che auf psychischen oder psychosomatischen Störungen beruhen: sie machten schon von 1987 bis 1992 den grössten Teil des Zuwachses an krankheitsbedingten IV-Renten aus. 1993 hat sich der Trend noch verstärkt. In Beantwortung der Interpellation Nabholz vom 8. Oktober 1993 geht der Bundes- rat nur auf den Zusammenhang mit der Langzeitarbeitslosig- keit ein. Wissenschaftler weisen jedoch darauf hin, dass die genannte Entwicklung noch weitere Ursachen hat (Ergeb- nisse des NFP 26B; Dr. K Müller in der «NZZ» vom 22.12.1993). Ich bitte den Bundesrat, zu folgenden Fragen Stellung zu nehmen: 1. Wie hoch schätzt der Bundesrat die Folgekosten der Chro- nifizierung psychosomatischer Leiden ein (durch Arbeitsaus- fälle, Inanspruchnahme medizinischer Leistungen, IV-Renten usw.)? 2. Sieht der Bundesrat praktische Möglichkeiten, diesem Sachverhalt mit präventiv wirksamen Massnahmen entge- genzusteuern? 3. Wie kann erreicht werden, dass Krankmeldungen und Dia- gnosen von psychosomatisch Kranken von den Vertrauens- ärzten der Krankenkassen und schliesslich der IV nicht erst zu einem Zeitpunkt begutachtet werden, in dem in der Regel bereits ein chronisches Leiden und damit Invalidität bzw. dauernde Arbeitsunfähigkeit bestehen? 4. Müssen die ärztliche Ausbildung und insbesondere die Weiterbildung zum Arzt für Innere Medizin FMH mit dem Ziel einer psychosomatischen Zusatzkompetenz ergänzt werden? 5. Wie soll bzw. kann die IV künftig zu präventiv (statt nur reak- tiv) wirksamen Massnahmen ermächtigt und befähigt werden, um ihrem Grundsatz «Eingliederung vor Rente» gerecht wer- den zu können und zu verhindern, dass die Zahl psychosoma- tisch Krankerweiterhin so anwächst? 6. Ist der Bundesrat bereit, in dem Sinne auf die Kantone ein- zuwirken, dass sie mehr psychosomatisch und psychosozial orientierte Therapieangebote bereitstellen? Texfe de l'interpellation du 2 mars 1994 Ces dernières années, le nombre de rentes Al versées pour cause de maladie a fortement augmenté. La progression est particulièrement frappante dans le cas des rentes versées pour cause de troubles psychiques ou psychosomatiques: de 1987 à 1992, cette catégorie avait déjà enregistré la plus forte augmentation des rentes Al versées pour cause de maladie. En 1993, cette tendance s'est encore renforcée. En réponse à l'interpellation Nabholz du 8 octobre 1993, le Conseil fédéral se borne à faire un rapprochement avec le chômage de lon- gue durée. Or, des scientifiques ont souligné que l'évolution précitée avait encore d'autres causes (résultats du PNR 26B; Dr K Müller dans la «NZZ» du 22.12.93). Je prie donc le Conseil fédéral de répondre aux questions suivantes: 1. A combien le Conseil fédéral évalue-t-il les coûts consécu- tifs à des maladies psychosomatiques devenues chroniques (absentéisme, recours à des prestations médicales, rentes Al, etc.)? 2. Le Conseil fédéral entrevoit-il des mesures efficaces à titre préventif qui permettraient de remédier à cette situation? 3. Comment peut-on faire en sorte que les médecins-conseil des caisses-maladie puis, de l'Ai, procèdent à une expertise des avis de maladie et des diagnostics de troubles psychoso- matiques avant que le mal chronique et, par là même, l'invali- dité ou l'incapacité de travail permanente soient déjà entrés dans les faits? 4. La formation médicale et, notamment, la spécialisation en médecine interne FMH doivent-elles être complétées de ma- nière à comprendre la connaissance des maladies psychoso- matiques? 5. Comment pourrait-on faire en sorte que l'Ai soit dorénavant habilitée et apte à prendre des mesures efficaces qui soient préventives (et non plus seulement «ré-actives») afin qu'elle puisse pleinement appliquer le principe de l'insertion avant la rente et éviter que le nombre des malades psychosomatiques ne continue à croître? 6. Le Conseil fédéral est-il prêt à influer sur les cantons de ma- nière à ce qu'ils offrent plus de thérapies à orientation psycho- somatique et psychosociale? Mitunterzeichner-Cosignataires: Bäumlin, Bodenmann, Borei François, Bundi, Danuser, de Dardel, Eggenberger, Goll, Hae- ring Binder, Herczog, Jeanprêtre, Jöri, Ledergerber, Lee- mann, MeyerTheo, Rechsteiner, Strahm Rudolf, Ziegler Jean (18) Schriftliche Begründung - Développement par écrit Der Bundesrat reagiert auf die wachsenden Defizite der IV nur mit einer Erhöhung der Beitragssätze. Mit Ursachenforschung und daran anknüpfenden Präventivmassnahmen Hesse sich auch etwas gegen den Kostenanstieg tun. Unter anderem trägt der Mangel an psychosomatisch und psychosozial orien- tierten Therapieangeboten von Kantonen (im stationären Ge- sundheitswesen) und niedergelassenen Ärzten (im ambulan- ten Gesundheitswesen) zur wachsenden Belastung von Bund und Versicherten bei und unterläuft auch den Grundsatz der IV «Eingliederung vor Rente». Schriftliche Stellungnahme des Bundesrates vom30. Mail994 Rapport écrit du Conseil fédéral du 30 mai 1994 1. Auch wenn der Begriff «psychosomatische Leiden» nicht eindeutig definiert werden kann, ist heute unbestritten, dass neben somalischen auch psychische und psychosoziale Fak- toren für die Krankheitsentstehung und -entwicklung relevant</w:t>
      </w:r>
    </w:p>
    <w:p>
      <w:r>
        <w:t>Schweizerisches Bundesarchiv, Digitale Amtsdruckschriften Archives fédérales suisses, Publications officielles numérisées Archivio federale svizzero, Pubblicazioni ufficiali digitali Interpellation Schnider Aufhebung der steuerlichen Wettbewerbsnachteile inländischer Bierbrauereien Interpellation Schnider Brasseries indigènes. Suppression des désavantages fiscaux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93.3648 Numéro d'objet Numero dell'oggetto Datum 17.06.1994 - 08:00 Date Data Seite 1218-1219 Page Pagina Ref. No</w:t>
      </w:r>
    </w:p>
    <w:p>
      <w:r>
        <w:rPr>
          <w:b/>
        </w:rPr>
        <w:t>E. 20</w:t>
      </w:r>
    </w:p>
    <w:p>
      <w:r>
        <w:t>024 214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