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93.364 2 vom 26. Januar 1995</w:t>
      </w:r>
    </w:p>
    <w:p>
      <w:r>
        <w:t>Bundesverwaltung, 1995-01-26, DE</w:t>
      </w:r>
    </w:p>
    <w:p>
      <w:r>
        <w:rPr>
          <w:b/>
        </w:rPr>
        <w:t xml:space="preserve">Quelle: </w:t>
      </w:r>
      <w:r>
        <w:t>https://mcp.opencaselaw.ch/entscheid/ch_vb_93.364_2</w:t>
      </w:r>
    </w:p>
    <w:p>
      <w:r>
        <w:t>FR: CH_VB 93.364 2 du 26 janvier 1995</w:t>
      </w:r>
    </w:p>
    <w:p>
      <w:r>
        <w:t>IT: CH_VB 93.364 2 del 26 gennaio 1995</w:t>
      </w:r>
    </w:p>
    <w:p>
      <w:pPr>
        <w:pStyle w:val="Heading2"/>
      </w:pPr>
      <w:r>
        <w:t>Erwägungen</w:t>
      </w:r>
    </w:p>
    <w:p>
      <w:r>
        <w:rPr>
          <w:b/>
        </w:rPr>
        <w:t>E. 26</w:t>
      </w:r>
    </w:p>
    <w:p>
      <w:r>
        <w:t>janvier 1995 choses, parce que l'environnement fiscal qui entoure la Suisse s'est modifié. Non seulement il n'y aura pas de pertes fiscales, mais seule- ment des reports, mais surtout nous éviterons la délocalisa- tion fiscale et la diminution des recettes correspondantes. On peut même escompter qu'avec une mesure de ce genre, on pourra récupérer un certain nombre de recettes perdues et, par conséquent, aux pertes prétendues qu'on nous annonce il faut mettre en balance des augmentations potentielles. Ce raisonnement, Monsieur le Conseiller fédéral, nous l'avons tenu pendant huit ans à propos du droit de timbre. Il a fallu huit ans pour que finalement le peuple suisse admette qu'il faille modifier la législation sur le droit de timbre et, pendant huit ans, nous avons constaté que nous perdions des recettes po- tentielles avec un droit de timbre qui n'était plus concurrentiel. Nous avons finalement obtenu, contre votre avis pendant longtemps, cette modification du droit de timbre et celle-ci n'a pas provoqué les pertes de recettes que vous aviez annon- cées pour vous y opposer. Le droit de timbre bien au contraire est le seul impôt qui, ces dernières années, a donné des résul- tats supérieurs aux prévisions budgétaires - le seul! Alors, Monsieur le Conseiller fédéral, il faut admettre qu'en modifiant un certain nombre de dispositions fiscales, on arrive contrairement à vos calculs à des augmentations de recettes et pas forcément à des diminutions. Je vous invite en particulier dans cette affaire à transmettre la motion Collier en tant que telle. Stich Otto, Bundesrat: Ich widersetze mich der Überweisung als Motion nicht. Sie wird ohnehin überwiesen! Gestern hat der Nationalrat die Vorlage betreffend die Ände- rung des Bundesgesetzes über die direkte Bundessleuer (DBG)andenBundesralzurückgewiesen-ichweissnichl.was Sie lun werden - mit der Begründung, man müsse das auch tun. Persönlich betrachte ich das als einen Fehler, denn gerade die Änderung der Besteuerung wäre zwingend nolwendig, wenn man so etwas lun will. Wir haben heute eine Besteuerung, die die Schaffung von Reserven begünstigt. Das macht keinen Sinn mehr, wenn man diese Reserven nachher beliebig ver- schieben kann und in vielen Fällen - nichl in allen - definiliv auf die Besteuerung verzichten muss. Von uns aus gesehen ist es eine Frage der Verhandlung, letzllich auch mil Europa wegen der Reziproziläl, und wir sollten dies nichl einseilig lun. In bezug auf die definilive Abgabe isl es so, dass wir keine Möglichkeil mehr haben, diese Sleuergelder im Ausland ein- zutreiben; das muss man klarsehen. Das isl beim belriebsnol- wendigen Anlagekapital richtig, aber Beteiligungen gehören bekannllich nichl zum belriebsnolwendigen Anlagekapital : Da liegldie Differenz- und dort haben wir dann keine Chance. Ich weise aber auch darauf hin, dass es noch eine inner- schweizerische Diskussion über diese Verschiebung geben wird. Auch bei uns sind die Sleuerunlerschiede immer noch sehr gross. Lelzllich wird den Wettbewerb gewinnen, wer die liefslen Steuern oder wer gar keine Steuern hat Das ist die lo- gische Schlussfolgerung. Darüber müssen wir nicht nur mit der EU verhandeln, sondern auch mil den schweizerischen Kantonen, mil unseren Gliedstaaten, diskutieren. Das bedeu- lel eine Änderung des DBG, aber auch eine Änderung des Steuerharmonisierungsgeselzes. Gerade gestern erhiell ich einen Brief der Schweizerischen Konferenz der kantonalen Fi- nanzdirekloren, eine Stellungnahme zum Berichl der Exper- tenkommission zur Prüfung des Einsatzes des Steuerrechls für wohnungs- und bodenpolilische Ziele. Das isl elwas ande- res, aber ich möchte Ihnen doch vorlesen, was die kantonalen Finanzdirekloren schreiben: «Änderungen in Bundesgesel- zen DBG und SlHG können die Anpassungs- und Harmonisie- rungsprozesse gefährden. Zudem würde eine Revision dieser Geselze, die noch nichl oder ersi seil kurzem in Kraft sind, die Rechtssicherheit und die Voraussehbarkeil in die Handlungen des Geselzgebers schwerwiegend tangieren.» Dann, unter- slrichen und hervorgehoben: «Auf Änderungen des DBG und des Steuerharmonisierungsgeselzes isl daher zurzeil grund- sälzlich zu verzichten.» Das beziehl sich auf elwas anderes, aber die Materie isl natürlich auch in diesen beiden Gesetzen geregell. Sie sind der Sländeral, Sie haben die Kantone besonders zu beireuen, und Sie sollten auch bedenken, was die Stellung- nahme der Kantone bedeutet Überwiesen - Transmis #ST# 94.3428 Interpellation Schiesser Mehrwertsteuer-Verordnung und Berufsgeheimnis Taxe sur la valeur ajoutée et secret professionnel Wortlaut der Interpellation vom 5. Oktober 1994 Isl es richlig, dass für Anwälte als Berufsgeheimnislräger ein echi sleuerbefreiler Dienstleislungsexport nur möglich ist, wenn diese als Berufsgeheimnisträger sich nach Artikel 321 StGB slrafbar machen, indem sie Name und Adresse des aus- ländischen Klienten sowie die Art ihrer Täligkeil offenlegen? Aufgrund welcher Überlegungen komml der Bundesral zum Schluss, dass die selbständige Verordnung in der für das Funktionieren des Rechlsslaales zenlralen Frage des geselz- lich geschülzten Berufsgeheimnisses ohne Beachtung der slrafrechllichen Rahmenbedingungen und anerkannten Grundsälze legiferiert werden kann? Die Dienslleislungen ins Ausland sind gemäss Artikel 15 Ab- satz 2 Buchslabe l Mehrwertsteuer-Verordnung grundsälzlich steuerfrei. Nach geplantem Branchenzirkular soll nun der Anwall für sol- che Leislungen nur dann von der Steuer befreil sein, wenn er dem Fiskus gegenüber den Namen der Klienlschafl aufdeckl und weitere Spezifikalionen zu seinem Auftrag offenlegl. Dies komml einer Aufforderung zur Verlelzung des Berufsgeheim- nisses gleich. Überdies soll die Steuerbefreiung dann dahin- fallen, wenn der Anwall bei seiner Täligkeil schweizerisches Rechi anwendet Im Klartexl bedeutel dies, dass die Steuerbe- freiung für ausländische Diensfleislungen praklisch wegfällt Texte de l'interpellation du 5 octobre 1994 Esl-il vrai que les avocals, lesquels déliennenl des secrels professionnels, ne pourronf bénéficier de l'exonération de la TVA sur les prestalions de service qu'ils exportenl que s'ils dévoilenl au fisc le nom, l'adresse el le type d'aclivilé de leurs clienls, se rendanl du même coup coupables de violalion du secrel professionnel conformémenl à l'article 321 du Code pénal? Sur quelles considéralions le Conseil fédéral se fonde-l-il pour conclure que l'ordonnance de son cru peul, au mépris du droil pénal el de principes reconnus, légiférer sur une queslion aussi fondamentale pour l'Etal de droil que celle du secrel pro- fessionnel protégé par la loi? L'article 15 alinéa 2 lettre I OTVA précise que sont exonérées de l'impôt les preslalions de service fournies à un destinataire domicilié à l'étranger, à condilion qu'elles soienl ulilisées ou exploitées à l'élranger. Or, si j'en crois le projel d'une circulaire de la branche, l'avocai qui fournira de telles preslalions devra, pour êlre exonéré du paiemenl de la TVA, fournir au fisc le nom de son clienl el des informalions sur le mandai qu'il aura reçu de lui. Ce n'esl rien d'autre qu'une incilalion à la violalion du secrel professionnel. De surcroît l'avocai qui ulilise le droil suisse n'aura pas droil à l'exonéralion. Cela signifie en clair que l'exonéralion pour preslalions de service fournies à l'étranger est pratiquemenl réduite à néant Mitunterzeichner - Cosignataires: Beerli, Cottier, Coulau, Frick, Huber, Salvioni, Schmid Carlo, Ziegler Oswald (8)</w:t>
      </w:r>
    </w:p>
    <w:p>
      <w:r>
        <w:t>Schweizerisches Bundesarchiv, Digitale Amtsdruckschriften Archives fédérales suisses, Publications officielles numérisées Archivio federale svizzero, Pubblicazioni ufficiali digitali Motion Cottier Beseitigung von steuerlichen Hindernissen bei grenzüberschreitenden Beteiligungsumstrukturierungen Motion Cottier Elimination d'obstacles fiscaux lors de restructurations des participations à des entreprises internationales In Amtliches Bulletin der Bundesversammlung Dans Bulletin officiel de l'Assemblée fédérale In Bollettino ufficiale dell'Assemblea federale Jahr 1995 Année Anno Band I Volume Volume Session Januarsession Session Session de janvier Sessione Sessione di gennaio Rat Ständerat Conseil Conseil des Etats Consiglio Consiglio degli Stati Sitzung 04 Séance Seduta Geschäftsnummer 93.3642 Numéro d'objet Numero dell'oggetto Datum 26.01.1995 - 08:00 Date Data Seite 77-80 Page Pagina Ref. No 20 025 342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