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93.3611 vom 4. Oktober 1995</w:t>
      </w:r>
    </w:p>
    <w:p>
      <w:r>
        <w:t>Bundesverwaltung, 1995-10-04, DE</w:t>
      </w:r>
    </w:p>
    <w:p>
      <w:r>
        <w:rPr>
          <w:b/>
        </w:rPr>
        <w:t xml:space="preserve">Quelle: </w:t>
      </w:r>
      <w:r>
        <w:t>https://mcp.opencaselaw.ch/entscheid/ch_vb_93.3611</w:t>
      </w:r>
    </w:p>
    <w:p>
      <w:r>
        <w:t>FR: CH_VB 93.3611 du 4 octobre 1995</w:t>
      </w:r>
    </w:p>
    <w:p>
      <w:r>
        <w:t>IT: CH_VB 93.3611 del 4 ottobre 1995</w:t>
      </w:r>
    </w:p>
    <w:p>
      <w:pPr>
        <w:pStyle w:val="Heading2"/>
      </w:pPr>
      <w:r>
        <w:t>Erwägungen</w:t>
      </w:r>
    </w:p>
    <w:p>
      <w:r>
        <w:rPr>
          <w:b/>
        </w:rPr>
        <w:t>E. 4</w:t>
      </w:r>
    </w:p>
    <w:p>
      <w:r>
        <w:t>octobre 1995 l'industrie, tout en diminuant les charges qui pèsent sur les propriétaires forestiers et les collectivités publiques. Que devons-nous faire pour cela? Accorder de nouvelles subventions, interdire l'importation des bois étrangers, obliger à la prise en charge des bois indigènes? Rien de tout cela! La mesure est à la fois pédagogique, écologique et libérale: il nous suffit de transmettre au Conseil fédéral les motions Martin Jacques (94.3406) et Friderici Charles (94.3430), et de donner l'ordre au Conseil fédéral de contrôler le fonction- nement de ses machines à calcul pour constater que 26 plus 18, c'est toujours plus près de 40 que de 28. Koller Arnold, Bundesrat: Sie wissen, dass die 28-Tonnen- Limite ein Grundpfeiler der schweizerischen Verkehrspolitik ist. Das Transitabkommen mit der EU und auch die Neat be- ruhen darauf. Diese Gewichtslimite schützt die Schweiz schon heute, vor der Umsetzung der Alpen-Initiative, vor ei- ner Vervielfachung des Transitschwerverkehrs. Es ist daher auch nicht der Moment, um diese Grundsatzfrage zu disku- tieren, sondern es geht heute allein um diese Motion, die eine beschränkte Zielsetzung - die Ausnahme für die Holztrans- porte - zum Gegenstand hat. Nach Artikel 9 Absatz 8 des Strassenverkehrsgesetzes kann der Bundesrat nach Anhören der Kantone unter anderem Aus- nahmen von den Gewichtslimiten für Fahrzeuge vorsehen, die wegen ihres besonderen Zweckes unvermeidbar höhere Ge- wichte erfordern. Er umschreibt die Voraussetzungen, unter denen im Einzelfall unumgängliche Fahrten anderer Fahr- zeuge mit höheren Gewichten bewilligt werden dürfen. Ge- stützt darauf sieht Artikel 80 der Verkehrregelnverordnung un- ter bestimmten Voraussetzungen tatsächlich Ausnahmen von den gesetzlichen Höchstgewichten für die Beförderung eines unteilbaren Gutes vor. Bei Rundholz handelt es sich jedoch zweifellos nicht um ein unteilbares Gut. Diese restriktive For- mulierung von Artikel 9 Absatz 8 Strassenverkehrsgesetz schliesst daher aus, für Rundholztransporte eine generelle Ausnahme von der 28-Tonnen-Limite vorzusehen. Wie die Kommissionssprecher dargelegt haben, haben wir im Rah- men unseres Ermessens bereits alle Möglichkeiten ausge- nützt, indem wir in einem Kreisschreiben festgehalten haben, dass Gewichtsüberschreitungen bis zu 15 Prozent des Ge- samtgewichts nicht geahndet werden. Mein Departement hat damit den zulässigen Rahmen für Erleichterungen bei Holz- transporten voll ausgeschöpft. Es prüft freilich immer neu, ob beispielsweise neue Holzsorten die Voraussetzungen für den Transport nach den bisherigen Weisungen erfüllen. Eine Änderung des Strassenverkehrsgesetzes, wonach für Rundholztransportfahrzeuge auf dem ganzen Gebiet der Schweiz ein Gesamtgewicht von 40 Tonnen erlaubt wäre, während bei der Beförderung aller anderen teilbaren Güter nach wie vor die 28-Tonnen-Limite mit einer Toleranz von</w:t>
      </w:r>
    </w:p>
    <w:p>
      <w:r>
        <w:rPr>
          <w:b/>
        </w:rPr>
        <w:t>E. 5</w:t>
      </w:r>
    </w:p>
    <w:p>
      <w:r>
        <w:t>welche Persönlichkeiten aus der Schweizer Politik direkt oder indirekt - beispielsweise durch ihre Mitgliedschaft in ei- nem Verwaltungsrat einer Gesellschaft - mit den Schmier- geldaffären in Zusammenhang gebracht werden.</w:t>
      </w:r>
    </w:p>
    <w:p>
      <w:r>
        <w:t>Schweizerisches Bundesarchiv, Digitale Amtsdruckschriften Archives fédérales suisses, Publications officielles numérisées Archivio federale svizzero, Pubblicazioni ufficiali digitali Postulat Pini Staats- und Wirtschaftspolitik. Strukturelle Änderungen Postulat Pini Révision politique et économique structurelle Postulato Pini Proposta di revisione strutturale politica ed economica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11 Séance Seduta Geschäftsnummer 93.3611 Numéro d'objet Numero dell'oggetto Datum 04.10.1995 - 08:30 Date Data Seite 2100-2104 Page Pagina Ref. No 20 026 136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